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F4F2" w14:textId="25A04D5C" w:rsidR="000D1CB9" w:rsidRPr="006D5884" w:rsidRDefault="007C5995" w:rsidP="007C5995">
      <w:pPr>
        <w:ind w:left="0" w:firstLine="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91039630"/>
      <w:r w:rsidRPr="006D5884">
        <w:rPr>
          <w:rFonts w:ascii="Calibri" w:hAnsi="Calibri" w:cs="Calibri"/>
          <w:b/>
          <w:bCs/>
          <w:sz w:val="22"/>
          <w:szCs w:val="22"/>
        </w:rPr>
        <w:t>Techniku</w:t>
      </w:r>
      <w:r w:rsidR="007C3B28" w:rsidRPr="006D5884">
        <w:rPr>
          <w:rFonts w:ascii="Calibri" w:hAnsi="Calibri" w:cs="Calibri"/>
          <w:b/>
          <w:bCs/>
          <w:sz w:val="22"/>
          <w:szCs w:val="22"/>
        </w:rPr>
        <w:t>m</w:t>
      </w:r>
      <w:r w:rsidRPr="006D5884">
        <w:rPr>
          <w:rFonts w:ascii="Calibri" w:hAnsi="Calibri" w:cs="Calibri"/>
          <w:b/>
          <w:bCs/>
          <w:sz w:val="22"/>
          <w:szCs w:val="22"/>
        </w:rPr>
        <w:t xml:space="preserve"> Ekonomiczne im.</w:t>
      </w:r>
      <w:r w:rsidR="000D1CB9" w:rsidRPr="006D5884">
        <w:rPr>
          <w:rFonts w:ascii="Calibri" w:hAnsi="Calibri" w:cs="Calibri"/>
          <w:b/>
          <w:bCs/>
          <w:sz w:val="22"/>
          <w:szCs w:val="22"/>
        </w:rPr>
        <w:t xml:space="preserve"> Emilii Plater </w:t>
      </w:r>
      <w:r w:rsidRPr="006D5884">
        <w:rPr>
          <w:rFonts w:ascii="Calibri" w:hAnsi="Calibri" w:cs="Calibri"/>
          <w:b/>
          <w:bCs/>
          <w:sz w:val="22"/>
          <w:szCs w:val="22"/>
        </w:rPr>
        <w:br/>
        <w:t xml:space="preserve">w Zespole Szkół Zawodowych </w:t>
      </w:r>
      <w:r w:rsidRPr="006D5884">
        <w:rPr>
          <w:rFonts w:ascii="Calibri" w:hAnsi="Calibri" w:cs="Calibri"/>
          <w:b/>
          <w:bCs/>
          <w:sz w:val="22"/>
          <w:szCs w:val="22"/>
        </w:rPr>
        <w:br/>
      </w:r>
      <w:r w:rsidR="000D1CB9" w:rsidRPr="006D5884">
        <w:rPr>
          <w:rFonts w:ascii="Calibri" w:hAnsi="Calibri" w:cs="Calibri"/>
          <w:b/>
          <w:bCs/>
          <w:sz w:val="22"/>
          <w:szCs w:val="22"/>
        </w:rPr>
        <w:t>w Zgorzelcu</w:t>
      </w:r>
    </w:p>
    <w:p w14:paraId="17D7C9B3" w14:textId="4F6E5F88" w:rsidR="000D1CB9" w:rsidRPr="006D5884" w:rsidRDefault="000D1CB9" w:rsidP="000D1CB9">
      <w:pPr>
        <w:jc w:val="center"/>
        <w:rPr>
          <w:rFonts w:ascii="Calibri" w:hAnsi="Calibri" w:cs="Calibri"/>
          <w:sz w:val="22"/>
          <w:szCs w:val="22"/>
        </w:rPr>
      </w:pPr>
    </w:p>
    <w:p w14:paraId="556E02D1" w14:textId="205FE0EE" w:rsidR="000D1CB9" w:rsidRPr="006D5884" w:rsidRDefault="000D1CB9" w:rsidP="007C5995">
      <w:pPr>
        <w:ind w:left="0" w:firstLine="0"/>
        <w:rPr>
          <w:rFonts w:ascii="Calibri" w:hAnsi="Calibri" w:cs="Calibri"/>
          <w:sz w:val="22"/>
          <w:szCs w:val="22"/>
        </w:rPr>
      </w:pPr>
    </w:p>
    <w:p w14:paraId="2FB1A4FB" w14:textId="63F9E5C4" w:rsidR="000D1CB9" w:rsidRPr="006D5884" w:rsidRDefault="000D1CB9" w:rsidP="007C5995">
      <w:pPr>
        <w:jc w:val="center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sz w:val="22"/>
          <w:szCs w:val="22"/>
        </w:rPr>
        <w:t xml:space="preserve">Wymagania edukacyjne </w:t>
      </w:r>
      <w:r w:rsidR="007C5995" w:rsidRPr="006D5884">
        <w:rPr>
          <w:rFonts w:ascii="Calibri" w:hAnsi="Calibri" w:cs="Calibri"/>
          <w:sz w:val="22"/>
          <w:szCs w:val="22"/>
        </w:rPr>
        <w:t xml:space="preserve">niezbędne do uzyskania poszczególnych śródrocznych i rocznych ocen klasyfikacji z obowiązkowych zajęć edukacyjnych </w:t>
      </w:r>
      <w:r w:rsidR="006D5884">
        <w:rPr>
          <w:rFonts w:ascii="Calibri" w:hAnsi="Calibri" w:cs="Calibri"/>
          <w:sz w:val="22"/>
          <w:szCs w:val="22"/>
        </w:rPr>
        <w:t xml:space="preserve">            </w:t>
      </w:r>
      <w:r w:rsidRPr="006D5884">
        <w:rPr>
          <w:rFonts w:ascii="Calibri" w:hAnsi="Calibri" w:cs="Calibri"/>
          <w:sz w:val="22"/>
          <w:szCs w:val="22"/>
        </w:rPr>
        <w:t>(kształcenie zawodowe)</w:t>
      </w:r>
      <w:r w:rsidR="007C5995" w:rsidRPr="006D5884">
        <w:rPr>
          <w:rFonts w:ascii="Calibri" w:hAnsi="Calibri" w:cs="Calibri"/>
          <w:sz w:val="22"/>
          <w:szCs w:val="22"/>
        </w:rPr>
        <w:br/>
      </w:r>
      <w:r w:rsidR="007C5995" w:rsidRPr="006D5884">
        <w:rPr>
          <w:rFonts w:ascii="Calibri" w:hAnsi="Calibri" w:cs="Calibri"/>
          <w:b/>
          <w:bCs/>
          <w:sz w:val="22"/>
          <w:szCs w:val="22"/>
        </w:rPr>
        <w:t>pr</w:t>
      </w:r>
      <w:r w:rsidRPr="006D5884">
        <w:rPr>
          <w:rFonts w:ascii="Calibri" w:hAnsi="Calibri" w:cs="Calibri"/>
          <w:b/>
          <w:bCs/>
          <w:sz w:val="22"/>
          <w:szCs w:val="22"/>
        </w:rPr>
        <w:t>zedmiot</w:t>
      </w:r>
      <w:r w:rsidRPr="006D5884">
        <w:rPr>
          <w:rFonts w:ascii="Calibri" w:hAnsi="Calibri" w:cs="Calibri"/>
          <w:sz w:val="22"/>
          <w:szCs w:val="22"/>
        </w:rPr>
        <w:t xml:space="preserve">: Kadry i płace </w:t>
      </w:r>
      <w:r w:rsidR="007C5995" w:rsidRPr="006D5884">
        <w:rPr>
          <w:rFonts w:ascii="Calibri" w:hAnsi="Calibri" w:cs="Calibri"/>
          <w:sz w:val="22"/>
          <w:szCs w:val="22"/>
        </w:rPr>
        <w:t xml:space="preserve">IV </w:t>
      </w:r>
      <w:r w:rsidR="006D5884">
        <w:rPr>
          <w:rFonts w:ascii="Calibri" w:hAnsi="Calibri" w:cs="Calibri"/>
          <w:sz w:val="22"/>
          <w:szCs w:val="22"/>
        </w:rPr>
        <w:t>klasa</w:t>
      </w:r>
      <w:r w:rsidR="007C5995" w:rsidRPr="006D5884">
        <w:rPr>
          <w:rFonts w:ascii="Calibri" w:hAnsi="Calibri" w:cs="Calibri"/>
          <w:sz w:val="22"/>
          <w:szCs w:val="22"/>
        </w:rPr>
        <w:t xml:space="preserve"> 2024/2025</w:t>
      </w:r>
    </w:p>
    <w:p w14:paraId="4D12ED93" w14:textId="19F451CE" w:rsidR="000D1CB9" w:rsidRPr="006D5884" w:rsidRDefault="007C5995" w:rsidP="007C5995">
      <w:pPr>
        <w:jc w:val="center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b/>
          <w:bCs/>
          <w:sz w:val="22"/>
          <w:szCs w:val="22"/>
        </w:rPr>
        <w:t>Program nauczania</w:t>
      </w:r>
      <w:r w:rsidRPr="006D5884">
        <w:rPr>
          <w:rFonts w:ascii="Calibri" w:hAnsi="Calibri" w:cs="Calibri"/>
          <w:sz w:val="22"/>
          <w:szCs w:val="22"/>
        </w:rPr>
        <w:t>: Technik ekonomista - 331403</w:t>
      </w:r>
    </w:p>
    <w:p w14:paraId="71249185" w14:textId="77777777" w:rsidR="007C5995" w:rsidRPr="006D5884" w:rsidRDefault="007C5995" w:rsidP="007C5995">
      <w:pPr>
        <w:jc w:val="center"/>
        <w:rPr>
          <w:rFonts w:ascii="Calibri" w:hAnsi="Calibri" w:cs="Calibri"/>
          <w:sz w:val="22"/>
          <w:szCs w:val="22"/>
        </w:rPr>
      </w:pPr>
    </w:p>
    <w:p w14:paraId="406F838D" w14:textId="1C32E4DC" w:rsidR="007C5995" w:rsidRPr="006D5884" w:rsidRDefault="007C5995" w:rsidP="007C5995">
      <w:pPr>
        <w:jc w:val="center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sz w:val="22"/>
          <w:szCs w:val="22"/>
        </w:rPr>
        <w:t>Magdalena Czyżewska</w:t>
      </w:r>
    </w:p>
    <w:p w14:paraId="26D7C50D" w14:textId="24D53C18" w:rsidR="007C5995" w:rsidRPr="006D5884" w:rsidRDefault="007C5995" w:rsidP="006D588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sz w:val="22"/>
          <w:szCs w:val="22"/>
        </w:rPr>
        <w:br/>
      </w:r>
      <w:r w:rsidR="007C3B28" w:rsidRPr="006D5884">
        <w:rPr>
          <w:rFonts w:ascii="Calibri" w:hAnsi="Calibri" w:cs="Calibri"/>
          <w:sz w:val="22"/>
          <w:szCs w:val="22"/>
        </w:rPr>
        <w:br/>
      </w:r>
      <w:r w:rsidRPr="006D5884">
        <w:rPr>
          <w:rFonts w:ascii="Calibri" w:hAnsi="Calibri" w:cs="Calibri"/>
          <w:sz w:val="22"/>
          <w:szCs w:val="22"/>
        </w:rPr>
        <w:br/>
      </w:r>
      <w:r w:rsidRPr="006D5884">
        <w:rPr>
          <w:rFonts w:ascii="Calibri" w:hAnsi="Calibri" w:cs="Calibri"/>
          <w:sz w:val="22"/>
          <w:szCs w:val="22"/>
        </w:rPr>
        <w:br/>
        <w:t>Środki dydaktyczne:</w:t>
      </w:r>
    </w:p>
    <w:p w14:paraId="7659D0E6" w14:textId="60B2B26E" w:rsidR="007C5995" w:rsidRPr="006D5884" w:rsidRDefault="007C5995" w:rsidP="006D5884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sz w:val="22"/>
          <w:szCs w:val="22"/>
        </w:rPr>
        <w:t>Materiały własne</w:t>
      </w:r>
    </w:p>
    <w:p w14:paraId="7A0ECBC6" w14:textId="3BC5E961" w:rsidR="007C5995" w:rsidRPr="006D5884" w:rsidRDefault="007C5995" w:rsidP="006D5884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sz w:val="22"/>
          <w:szCs w:val="22"/>
        </w:rPr>
        <w:t xml:space="preserve">Podręcznik : </w:t>
      </w:r>
      <w:r w:rsidRPr="006D5884">
        <w:rPr>
          <w:rFonts w:ascii="Calibri" w:hAnsi="Calibri" w:cs="Calibri"/>
          <w:sz w:val="22"/>
          <w:szCs w:val="22"/>
        </w:rPr>
        <w:br/>
        <w:t xml:space="preserve">Bożena Padurek, </w:t>
      </w:r>
      <w:r w:rsidRPr="006D5884">
        <w:rPr>
          <w:rFonts w:ascii="Calibri" w:hAnsi="Calibri" w:cs="Calibri"/>
          <w:i/>
          <w:iCs/>
          <w:sz w:val="22"/>
          <w:szCs w:val="22"/>
        </w:rPr>
        <w:t>Prowadzenie spraw kadrowych i rozliczanie wynagrodzeń. Obsługa Programu kadrowo – płacowego Gratyfikant GT.</w:t>
      </w:r>
      <w:r w:rsidRPr="006D5884">
        <w:rPr>
          <w:rFonts w:ascii="Calibri" w:hAnsi="Calibri" w:cs="Calibri"/>
          <w:sz w:val="22"/>
          <w:szCs w:val="22"/>
        </w:rPr>
        <w:t xml:space="preserve"> </w:t>
      </w:r>
      <w:r w:rsidRPr="006D5884">
        <w:rPr>
          <w:rFonts w:ascii="Calibri" w:hAnsi="Calibri" w:cs="Calibri"/>
          <w:sz w:val="22"/>
          <w:szCs w:val="22"/>
        </w:rPr>
        <w:br/>
        <w:t xml:space="preserve">Wydawnictwo Bożena Padurek, Wrocław </w:t>
      </w:r>
    </w:p>
    <w:p w14:paraId="08AC9974" w14:textId="63ED2860" w:rsidR="007C5995" w:rsidRPr="006D5884" w:rsidRDefault="007C5995" w:rsidP="006D5884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D5884">
        <w:rPr>
          <w:rFonts w:ascii="Calibri" w:hAnsi="Calibri" w:cs="Calibri"/>
          <w:sz w:val="22"/>
          <w:szCs w:val="22"/>
        </w:rPr>
        <w:t>Wzory dokumentów</w:t>
      </w:r>
    </w:p>
    <w:bookmarkEnd w:id="0"/>
    <w:p w14:paraId="36102AF4" w14:textId="77777777" w:rsidR="000D1CB9" w:rsidRPr="006D5884" w:rsidRDefault="000D1CB9" w:rsidP="007C3B28">
      <w:pPr>
        <w:ind w:left="0" w:firstLine="0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pPr w:leftFromText="141" w:rightFromText="141" w:horzAnchor="margin" w:tblpXSpec="center" w:tblpY="576"/>
        <w:tblW w:w="15310" w:type="dxa"/>
        <w:tblLook w:val="04A0" w:firstRow="1" w:lastRow="0" w:firstColumn="1" w:lastColumn="0" w:noHBand="0" w:noVBand="1"/>
      </w:tblPr>
      <w:tblGrid>
        <w:gridCol w:w="1980"/>
        <w:gridCol w:w="2835"/>
        <w:gridCol w:w="2538"/>
        <w:gridCol w:w="2583"/>
        <w:gridCol w:w="2646"/>
        <w:gridCol w:w="2728"/>
      </w:tblGrid>
      <w:tr w:rsidR="000D1CB9" w:rsidRPr="00916B14" w14:paraId="2A0F726E" w14:textId="77777777" w:rsidTr="000D1CB9">
        <w:tc>
          <w:tcPr>
            <w:tcW w:w="1980" w:type="dxa"/>
          </w:tcPr>
          <w:p w14:paraId="529B137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b/>
                <w:bCs/>
                <w:sz w:val="24"/>
              </w:rPr>
            </w:pPr>
            <w:r w:rsidRPr="006D5884">
              <w:rPr>
                <w:rFonts w:ascii="Calibri" w:hAnsi="Calibri" w:cs="Calibri"/>
                <w:b/>
                <w:bCs/>
                <w:sz w:val="24"/>
              </w:rPr>
              <w:lastRenderedPageBreak/>
              <w:t>Dział Tematyczny</w:t>
            </w:r>
          </w:p>
        </w:tc>
        <w:tc>
          <w:tcPr>
            <w:tcW w:w="2835" w:type="dxa"/>
          </w:tcPr>
          <w:p w14:paraId="22479B5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b/>
                <w:bCs/>
                <w:sz w:val="24"/>
              </w:rPr>
            </w:pPr>
            <w:r w:rsidRPr="006D5884">
              <w:rPr>
                <w:rFonts w:ascii="Calibri" w:hAnsi="Calibri" w:cs="Calibri"/>
                <w:b/>
                <w:bCs/>
                <w:sz w:val="24"/>
              </w:rPr>
              <w:t>Ocena dopuszczająca</w:t>
            </w:r>
          </w:p>
        </w:tc>
        <w:tc>
          <w:tcPr>
            <w:tcW w:w="2538" w:type="dxa"/>
          </w:tcPr>
          <w:p w14:paraId="301F5F4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b/>
                <w:bCs/>
                <w:sz w:val="24"/>
              </w:rPr>
            </w:pPr>
            <w:r w:rsidRPr="006D5884">
              <w:rPr>
                <w:rFonts w:ascii="Calibri" w:hAnsi="Calibri" w:cs="Calibri"/>
                <w:b/>
                <w:bCs/>
                <w:sz w:val="24"/>
              </w:rPr>
              <w:t>Ocena dostateczna</w:t>
            </w:r>
          </w:p>
        </w:tc>
        <w:tc>
          <w:tcPr>
            <w:tcW w:w="2583" w:type="dxa"/>
          </w:tcPr>
          <w:p w14:paraId="3E9603C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b/>
                <w:bCs/>
                <w:sz w:val="24"/>
              </w:rPr>
            </w:pPr>
            <w:r w:rsidRPr="006D5884">
              <w:rPr>
                <w:rFonts w:ascii="Calibri" w:hAnsi="Calibri" w:cs="Calibri"/>
                <w:b/>
                <w:bCs/>
                <w:sz w:val="24"/>
              </w:rPr>
              <w:t>Ocena dobra</w:t>
            </w:r>
          </w:p>
        </w:tc>
        <w:tc>
          <w:tcPr>
            <w:tcW w:w="2646" w:type="dxa"/>
          </w:tcPr>
          <w:p w14:paraId="1C1AAD0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b/>
                <w:bCs/>
                <w:sz w:val="24"/>
              </w:rPr>
            </w:pPr>
            <w:r w:rsidRPr="006D5884">
              <w:rPr>
                <w:rFonts w:ascii="Calibri" w:hAnsi="Calibri" w:cs="Calibri"/>
                <w:b/>
                <w:bCs/>
                <w:sz w:val="24"/>
              </w:rPr>
              <w:t>Ocena bardzo dobra</w:t>
            </w:r>
          </w:p>
        </w:tc>
        <w:tc>
          <w:tcPr>
            <w:tcW w:w="2728" w:type="dxa"/>
          </w:tcPr>
          <w:p w14:paraId="466BA115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b/>
                <w:bCs/>
                <w:sz w:val="24"/>
              </w:rPr>
            </w:pPr>
            <w:r w:rsidRPr="006D5884">
              <w:rPr>
                <w:rFonts w:ascii="Calibri" w:hAnsi="Calibri" w:cs="Calibri"/>
                <w:b/>
                <w:bCs/>
                <w:sz w:val="24"/>
              </w:rPr>
              <w:t>Ocena celująca</w:t>
            </w:r>
          </w:p>
        </w:tc>
      </w:tr>
      <w:tr w:rsidR="000D1CB9" w:rsidRPr="006D5884" w14:paraId="7F0E1D52" w14:textId="77777777" w:rsidTr="000D1CB9">
        <w:tc>
          <w:tcPr>
            <w:tcW w:w="1980" w:type="dxa"/>
          </w:tcPr>
          <w:p w14:paraId="2DA5AA99" w14:textId="77777777" w:rsidR="000D1CB9" w:rsidRPr="006D5884" w:rsidRDefault="000D1CB9" w:rsidP="006D5884">
            <w:pPr>
              <w:pStyle w:val="Bezodstpw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>Wynagrodzenie za pracę</w:t>
            </w:r>
          </w:p>
        </w:tc>
        <w:tc>
          <w:tcPr>
            <w:tcW w:w="2835" w:type="dxa"/>
          </w:tcPr>
          <w:p w14:paraId="478E71BE" w14:textId="3C213AD0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potrafi wymienić funkcje i elementy wynagrodzenia</w:t>
            </w:r>
          </w:p>
          <w:p w14:paraId="3EAE6EC6" w14:textId="61DA164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potrafi zidentyfikować fakultatywne i obowiązkowe potrącenia z wynagrodzeń</w:t>
            </w:r>
          </w:p>
          <w:p w14:paraId="6C986F4D" w14:textId="77777777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potrafi zidentyfikować systemy wynagradzania pracowników</w:t>
            </w:r>
          </w:p>
          <w:p w14:paraId="2A55AD0D" w14:textId="0FBD4F50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elementy wynagrodzenia, np. wynagrodzenie zasadnicze, za urlop, za godziny nadliczbowe</w:t>
            </w:r>
          </w:p>
          <w:p w14:paraId="44DC7939" w14:textId="7AA1C028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obowiązkowe i dobrowolne dodatki do wynagrodzenia zasadniczego i ekwiwalenty </w:t>
            </w:r>
          </w:p>
          <w:p w14:paraId="59234AA2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  <w:p w14:paraId="39F31B45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  <w:p w14:paraId="3E69E78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8" w:type="dxa"/>
          </w:tcPr>
          <w:p w14:paraId="7FE502FB" w14:textId="0AE85C80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funkcje i elementy wynagrodzenia</w:t>
            </w:r>
          </w:p>
          <w:p w14:paraId="0FB0539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wyjaśnia pojęcie systemu płac </w:t>
            </w:r>
          </w:p>
          <w:p w14:paraId="7A82A93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omawia systemy wynagradzania pracowników </w:t>
            </w:r>
          </w:p>
          <w:p w14:paraId="01A3282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omawia możliwe składniki wynagrodzeń brutto ze stosunku pracy </w:t>
            </w:r>
          </w:p>
          <w:p w14:paraId="764F537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identyfikuje fakultatywne i obowiązkowe potrącenia z wynagrodzeń, podaje przykłady</w:t>
            </w:r>
          </w:p>
          <w:p w14:paraId="5C411AB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wyjaśnia zasady obliczania wynagrodzenia za pracę w godzinach nadliczbowych, wynagrodzenia za pracę w porze nocnej i święta </w:t>
            </w:r>
          </w:p>
          <w:p w14:paraId="48AC059A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83" w:type="dxa"/>
          </w:tcPr>
          <w:p w14:paraId="0A5FB439" w14:textId="0F315CAA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opisuje funkcje i elementy wynagrodzenia</w:t>
            </w:r>
          </w:p>
          <w:p w14:paraId="1491A8E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opisuje różne systemy wynagradzania pracowników i podaje przykłady </w:t>
            </w:r>
          </w:p>
          <w:p w14:paraId="330A6B1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obliczyć wynagrodzenia zasadnicze na podstawie umowy o pracę w różnych systemach wynagradzania </w:t>
            </w:r>
          </w:p>
          <w:p w14:paraId="31BBD0F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określić możliwe składniki wynagrodzeń osobowych: wynagrodzenie zasadnicze, dodatki za pracę nocną, dodatki za dyżury, nadgodziny, dodatki funkcyjne, dodatki za pracę w uciążliwych warunkach, premie, dodatek wyrównawczy, opodatkowane dodatki fakultatywne </w:t>
            </w:r>
          </w:p>
          <w:p w14:paraId="0D4B50C5" w14:textId="78F3F849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zidentyfikować część stałą i ruchomą wynagrodzenia </w:t>
            </w:r>
          </w:p>
          <w:p w14:paraId="1D665748" w14:textId="57B5BA61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rozpoznaje składniki wynagrodzenia brutto </w:t>
            </w:r>
          </w:p>
          <w:p w14:paraId="7D889CBC" w14:textId="53230D0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wyjaśnia zasady obliczania wynagrodzenia za pracę w godzinach nadliczbowych </w:t>
            </w:r>
          </w:p>
          <w:p w14:paraId="7CF1C76A" w14:textId="277BEDE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określa zasady obowiązujące przy wyliczaniu wynagrodzenia za pracę w porze nocnej i święta</w:t>
            </w:r>
          </w:p>
          <w:p w14:paraId="627C15B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obowiązkowe i dobrowolne dodatki do wynagrodzenia zasadniczego i ekwiwalenty, np. dodatek za pracę w niedzielę i święta, dodatek za pracę w godzinach nadliczbowych, dodatek za pracę w porze nocnej, dodatek funkcyjny </w:t>
            </w:r>
          </w:p>
        </w:tc>
        <w:tc>
          <w:tcPr>
            <w:tcW w:w="2646" w:type="dxa"/>
          </w:tcPr>
          <w:p w14:paraId="4D5A9A3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charakteryzuje elementy i systemy wynagradzania pracowników, wie z czego one wynikają </w:t>
            </w:r>
          </w:p>
          <w:p w14:paraId="27DC51A2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podaje przykłady składników wynagrodzenia brutto ze stosunku pracy </w:t>
            </w:r>
          </w:p>
          <w:p w14:paraId="4A34792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obliczyć wynagrodzenia ze stosunku pracy w różnych systemach z wyszczególnieniem składników wynagrodzenia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prawidłowo oblicza obligatoryjne obciążenia przychodów ze stosunku pracy </w:t>
            </w:r>
          </w:p>
          <w:p w14:paraId="5A18F468" w14:textId="22C2680D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wynagrodzenie zasadnicze według różnych systemów wynagradzania - obliczyć dodatek za wysługę lat</w:t>
            </w:r>
          </w:p>
          <w:p w14:paraId="60C77FC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wynagrodzenie za pracę wykonywaną w godzinach nadliczbowych w różnych porach i dniach </w:t>
            </w:r>
          </w:p>
          <w:p w14:paraId="0A6523CF" w14:textId="39E75BFC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wynagrodzenie za pracę w godzinach nocnych i święta </w:t>
            </w:r>
          </w:p>
          <w:p w14:paraId="69EB8180" w14:textId="729FC7FB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premię, dodatek funkcyjny i stażowy ustalony procentowo</w:t>
            </w:r>
          </w:p>
          <w:p w14:paraId="02B2570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prawidłowo obliczyć obowiązkowe potrącenia z wynagrodzenia z tytułów umów cywilnoprawnych oraz przygotować rachunki do umów cywilnoprawnych </w:t>
            </w:r>
          </w:p>
          <w:p w14:paraId="0EC0442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obliczyć obowiązkowe i dobrowolne dodatki do wynagrodzenia zasadniczego i ekwiwalenty, np.  dodatek za pracę w niedzielę i święta, za pracę w godzinach nadliczbowych, w porze nocnej, wynagrodzenie urlopowe, dodatek za wysługę lat, </w:t>
            </w:r>
          </w:p>
        </w:tc>
        <w:tc>
          <w:tcPr>
            <w:tcW w:w="2728" w:type="dxa"/>
          </w:tcPr>
          <w:p w14:paraId="0102C1D8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zaproponować system wynagradzania pracowników </w:t>
            </w:r>
          </w:p>
          <w:p w14:paraId="61D33EC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ocenia znaczenie składników wynagrodzenia brutto ze stosunku pracy </w:t>
            </w:r>
          </w:p>
          <w:p w14:paraId="79C26100" w14:textId="77777777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analizuje etapy obliczenia wynagrodzenia ze stosunku pracy w różnych systemach z wyszczególnieniem składników wynagrodzenia oraz potrafi zastosować nabytą wiedzę przy rozwiązywaniu problemó</w:t>
            </w:r>
            <w:r w:rsidR="006D5884">
              <w:rPr>
                <w:rFonts w:ascii="Calibri" w:hAnsi="Calibri" w:cs="Calibri"/>
                <w:sz w:val="22"/>
                <w:szCs w:val="22"/>
              </w:rPr>
              <w:t>w</w:t>
            </w:r>
          </w:p>
          <w:p w14:paraId="001B504E" w14:textId="1D5C51FF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bezbłędnie obliczyć wynagrodzenie za czas nieprzepracowany np. za czas niezdolności do pracy z powodu choroby, urlopu płatnego </w:t>
            </w:r>
          </w:p>
          <w:p w14:paraId="32E4654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dobrać dokumenty w sprawach emerytalno-rentowych </w:t>
            </w:r>
          </w:p>
        </w:tc>
      </w:tr>
      <w:tr w:rsidR="000D1CB9" w:rsidRPr="006D5884" w14:paraId="77198ED3" w14:textId="77777777" w:rsidTr="000D1CB9">
        <w:tc>
          <w:tcPr>
            <w:tcW w:w="1980" w:type="dxa"/>
          </w:tcPr>
          <w:p w14:paraId="5B87DAC8" w14:textId="2AA5F8DD" w:rsidR="000D1CB9" w:rsidRPr="006D5884" w:rsidRDefault="000D1CB9" w:rsidP="006D5884">
            <w:pPr>
              <w:pStyle w:val="Bezodstpw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>Podatek</w:t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dochodowy od osób fizycznych</w:t>
            </w:r>
          </w:p>
        </w:tc>
        <w:tc>
          <w:tcPr>
            <w:tcW w:w="2835" w:type="dxa"/>
          </w:tcPr>
          <w:p w14:paraId="05E11E93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podać schemat ustalania podstawy opodatkowania podatkiem dochodowym od osób fizycznych z tytułu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zatrudnienia na podstawie umów o pracę i umów cywilnoprawnych.</w:t>
            </w:r>
          </w:p>
          <w:p w14:paraId="285EA0C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wymienić skalę podatkową podatku dochodowego od osób fizyczny</w:t>
            </w:r>
          </w:p>
          <w:p w14:paraId="514BC98A" w14:textId="2EF2C280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potrafi wymienić ulgi polegające na zwolnieniu od podatku dochodowego od osób fizycznych</w:t>
            </w:r>
          </w:p>
          <w:p w14:paraId="637F90A4" w14:textId="321C8723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wie co to jest PIT – 2</w:t>
            </w:r>
          </w:p>
          <w:p w14:paraId="2FDCD7CB" w14:textId="0B790D01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zna schemat ustalenia zaliczki na podatek dochodowy od osób fizycznych</w:t>
            </w:r>
          </w:p>
          <w:p w14:paraId="464F5605" w14:textId="6B58CC4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wie co to jest PPK</w:t>
            </w:r>
          </w:p>
        </w:tc>
        <w:tc>
          <w:tcPr>
            <w:tcW w:w="2538" w:type="dxa"/>
          </w:tcPr>
          <w:p w14:paraId="6CA3DE66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podaje termin wpłaty do urzędu skarbowego pobranych zaliczek z tyt. podatku dochodowego od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wynagrodzeń oraz dokumentacje </w:t>
            </w:r>
          </w:p>
          <w:p w14:paraId="6597CE1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termin przekazania pracownikowi informacji o dochodach pobranych zaliczkach na podatek dochodowy, wyjaśnia celowość przekazania informacji </w:t>
            </w:r>
          </w:p>
          <w:p w14:paraId="0BC921F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podaje schemat ustalania podstawy opodatkowania z tytułu zatrudnienia na podstawie umów o pracę i umów cywilnoprawnych</w:t>
            </w:r>
          </w:p>
          <w:p w14:paraId="3E27E42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wymienić skalę podatkową podatku dochodowego od osób fizyczny wie od czego zależy</w:t>
            </w:r>
          </w:p>
          <w:p w14:paraId="1B67AE11" w14:textId="6905B5F3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preferencyjne ulgi polegające na zwolnieniu od podatku dochodowego od osób fizycznych</w:t>
            </w:r>
          </w:p>
          <w:p w14:paraId="738D811D" w14:textId="1B221D2C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wskazuje cel, termin i skutki złożenia/niezłożenia przez pracownika oświadczenia dla celów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obliczenia miesięcznych zaliczek na podatek dochodowy od osób fizycznych </w:t>
            </w:r>
          </w:p>
          <w:p w14:paraId="169F258E" w14:textId="49979BB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schemat ustalenia zaliczki na podatek dochodowy od osób fizycznych wie kiedy jakie KUP stosować</w:t>
            </w:r>
          </w:p>
          <w:p w14:paraId="72708157" w14:textId="583D7E9D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kiedy obowiązuje zwolnienie z PIT dla młodych</w:t>
            </w:r>
          </w:p>
          <w:p w14:paraId="611ECEC1" w14:textId="4A2F43A5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istotę PPK</w:t>
            </w:r>
          </w:p>
        </w:tc>
        <w:tc>
          <w:tcPr>
            <w:tcW w:w="2583" w:type="dxa"/>
          </w:tcPr>
          <w:p w14:paraId="75EEAE88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sumę pobranych miesięcznie zaliczek z tytułu wypłaconych wynagrodzeń </w:t>
            </w:r>
          </w:p>
          <w:p w14:paraId="4824F572" w14:textId="77777777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sporządza polecenie przelewu pobranych zaliczek do US</w:t>
            </w:r>
          </w:p>
          <w:p w14:paraId="60AA913D" w14:textId="4CE90349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schemat ustalenia podstawy opodatkowania podatkiem dochodowym od osób fizycznych z tytułu zatrudnienia na podstawie umów o pracę i umów cywilnoprawnych.</w:t>
            </w:r>
          </w:p>
          <w:p w14:paraId="0A92B87D" w14:textId="579DDE7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prawidłowo oblicza wg skali podatkowej podatek dochodowy od osób fizyczny wie od czego zależy</w:t>
            </w:r>
          </w:p>
          <w:p w14:paraId="39BC5965" w14:textId="222FDE70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i stosuje preferencyjne ulgi polegające na zwolnieniu od podatku dochodowego od osób fizycznych</w:t>
            </w:r>
          </w:p>
          <w:p w14:paraId="09BE4432" w14:textId="0E3D843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wskazuje cel, termin i skutki złożenia/niezłożenia przez pracownika oświadczenia dla celów obliczenia miesięcznych zaliczek na podatek dochodowy od osób fizycznych </w:t>
            </w:r>
          </w:p>
          <w:p w14:paraId="634AF719" w14:textId="06C5D80F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schemat ustalenia zaliczki na podatek dochodowy od osób fizycznych wie kiedy jakie KUP stosować</w:t>
            </w:r>
          </w:p>
          <w:p w14:paraId="4DF6581E" w14:textId="6EFE7E54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kiedy obowiązuje zwolnienie z PIT dla młodych</w:t>
            </w:r>
          </w:p>
          <w:p w14:paraId="7E9F4F29" w14:textId="34415646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istotę PPK</w:t>
            </w:r>
          </w:p>
        </w:tc>
        <w:tc>
          <w:tcPr>
            <w:tcW w:w="2646" w:type="dxa"/>
          </w:tcPr>
          <w:p w14:paraId="77604A7C" w14:textId="77777777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sporządza informację o dochodach i pobranych zaliczkach na podatek dochodowy dla pracownika</w:t>
            </w:r>
          </w:p>
          <w:p w14:paraId="2E22F5D4" w14:textId="77777777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stosować właściwe koszty uzyskania przychodów</w:t>
            </w:r>
          </w:p>
          <w:p w14:paraId="19BCCE1A" w14:textId="44167F6B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podstawę opodatkowania podatkiem dochodowym od osób fizycznych z tytułu przychodów z pracy </w:t>
            </w:r>
          </w:p>
          <w:p w14:paraId="40ACD70C" w14:textId="5E0C5243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właściwie do sytuacji stosuje kwotę wolną od podatku</w:t>
            </w:r>
          </w:p>
          <w:p w14:paraId="41C2CAA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zaliczkę należną na podatek dochodowy od osób fizycznych z tytułu umów o pracę </w:t>
            </w:r>
          </w:p>
          <w:p w14:paraId="68E4C2E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ustala zaliczkę do zapłaty na podatek dochodowy od osób fizycznych z tytułu umów o pracę - obliczyć zaliczki na podatek dochodowy od osób fizycznych z tytułu umów cywilnoprawnych, w tym zaliczek ryczałtowych</w:t>
            </w:r>
          </w:p>
        </w:tc>
        <w:tc>
          <w:tcPr>
            <w:tcW w:w="2728" w:type="dxa"/>
          </w:tcPr>
          <w:p w14:paraId="2B16032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bezbłędnie obliczyć zaliczkę należną na podatek dochodowy od osób fizycznych z tytułu umów o pracę,</w:t>
            </w:r>
          </w:p>
          <w:p w14:paraId="06835326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bezbłędnie oblicza i odpowiednio stosuje: KUP, PIT - 2 preferencyjne ulgi, PPK, wie kiedy i jak można przystąpić i zrezygnować, </w:t>
            </w:r>
          </w:p>
        </w:tc>
      </w:tr>
      <w:tr w:rsidR="000D1CB9" w:rsidRPr="006D5884" w14:paraId="37016E33" w14:textId="77777777" w:rsidTr="000D1CB9">
        <w:tc>
          <w:tcPr>
            <w:tcW w:w="1980" w:type="dxa"/>
          </w:tcPr>
          <w:p w14:paraId="2A89336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Dokumentacja płac</w:t>
            </w:r>
          </w:p>
        </w:tc>
        <w:tc>
          <w:tcPr>
            <w:tcW w:w="2835" w:type="dxa"/>
          </w:tcPr>
          <w:p w14:paraId="6C86E9A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zidentyfikować elementy lisy płac</w:t>
            </w:r>
          </w:p>
          <w:p w14:paraId="0EBFDFE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zidentyfikować elementy rachunku do umów</w:t>
            </w:r>
          </w:p>
          <w:p w14:paraId="71FD682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>cywilnoprawnych</w:t>
            </w:r>
          </w:p>
          <w:p w14:paraId="2192563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podać terminy wypłaty</w:t>
            </w:r>
          </w:p>
          <w:p w14:paraId="0602947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>wynagrodzeń zgodnie z</w:t>
            </w:r>
          </w:p>
          <w:p w14:paraId="2C063ED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>prawem pracy</w:t>
            </w:r>
          </w:p>
          <w:p w14:paraId="06A5C55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przyczyny niezdolności do pracy</w:t>
            </w:r>
          </w:p>
          <w:p w14:paraId="2090E23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pojęcia wynagrodzenie chorobowe i zasiłek chorobowy</w:t>
            </w:r>
          </w:p>
          <w:p w14:paraId="71432D9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składki z tytułu ubezpieczeń społecznych w części płaconej przez pracodawcę</w:t>
            </w:r>
          </w:p>
          <w:p w14:paraId="393A1E34" w14:textId="59DA0B8E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roczne</w:t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dokumenty rozliczeniowe</w:t>
            </w:r>
          </w:p>
        </w:tc>
        <w:tc>
          <w:tcPr>
            <w:tcW w:w="2538" w:type="dxa"/>
          </w:tcPr>
          <w:p w14:paraId="05A58B09" w14:textId="1242FF64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określa formy wypłaty wynagrodzeń</w:t>
            </w:r>
          </w:p>
          <w:p w14:paraId="3AD37917" w14:textId="2F4C48C4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identyfikuje elementy listy płac oraz potrącenia obligatoryjne i fakultatywne</w:t>
            </w:r>
          </w:p>
          <w:p w14:paraId="5DD93042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określa przyczyny niezdolności do pracy</w:t>
            </w:r>
          </w:p>
          <w:p w14:paraId="701D4A10" w14:textId="1C904BD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definiuje pojęcia wynagrodzenie chorobowe i zasiłek chorobowy</w:t>
            </w:r>
          </w:p>
          <w:p w14:paraId="2EAF2BD8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zasady ustalenia wynagrodzenia chorobowego</w:t>
            </w:r>
          </w:p>
          <w:p w14:paraId="1131C3D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określa składki z tytułu ubezpieczeń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społecznych płacone przez pracodawcę</w:t>
            </w:r>
          </w:p>
          <w:p w14:paraId="3D3264F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określa roczne dokumenty rozliczeniowe</w:t>
            </w:r>
          </w:p>
        </w:tc>
        <w:tc>
          <w:tcPr>
            <w:tcW w:w="2583" w:type="dxa"/>
          </w:tcPr>
          <w:p w14:paraId="51596154" w14:textId="66BA3944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potrafi sporządzić listy płac </w:t>
            </w:r>
          </w:p>
          <w:p w14:paraId="6CF7B36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sporządzić imienne karty przychodów pracowniczych </w:t>
            </w:r>
          </w:p>
          <w:p w14:paraId="75AB234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przygotować rachunki do umów cywilnoprawnych </w:t>
            </w:r>
          </w:p>
          <w:p w14:paraId="4174598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ustala kwoty „do wypłaty” </w:t>
            </w:r>
          </w:p>
          <w:p w14:paraId="279BF6C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sporządza polecenie przelewu wynagrodzenia dla pracownika</w:t>
            </w:r>
          </w:p>
          <w:p w14:paraId="2555E1A5" w14:textId="1133CE75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wyjaśnia zasady ustalania wynagrodzenia chorobowego</w:t>
            </w:r>
          </w:p>
          <w:p w14:paraId="6ABE2BC3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rozróżnia wynagrodzenie chorobowe i zasiłek chorobowy </w:t>
            </w:r>
          </w:p>
          <w:p w14:paraId="1CA1DA38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nalicza składki ubezpieczeń społecznych płaconych przez pracodawcę i pracownika</w:t>
            </w:r>
          </w:p>
          <w:p w14:paraId="083D4BE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sporządza komplet rocznych dokumentów rozliczeniowych</w:t>
            </w:r>
          </w:p>
          <w:p w14:paraId="32964B5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4AD521B2" w14:textId="0B840F70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potrafi ustalić ubezpieczenie zdrowotne przy niskim wynagrodzeniu</w:t>
            </w:r>
            <w:r w:rsidRPr="006D5884">
              <w:rPr>
                <w:rFonts w:ascii="Calibri" w:hAnsi="Calibri" w:cs="Calibri"/>
                <w:sz w:val="22"/>
                <w:szCs w:val="22"/>
              </w:rPr>
              <w:br/>
              <w:t xml:space="preserve">potrafi prawidłowo obliczyć obowiązkowe potrącenia z wynagrodzenia z tytułów cywilnoprawnych oraz przygotować rachunki do umów cywilnoprawnych </w:t>
            </w:r>
          </w:p>
          <w:p w14:paraId="6D7A826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obliczyć obowiązkowe i dobrowolne dodatki do wynagrodzenia zasadniczego i ekwiwalenty, np.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dodatek za pracę w niedzielę i święta, za pracę w godzinach nadliczbowych, w porze nocnej, dodatek funkcyjny, dodatek za wysługę lat, ekwiwalent za pranie odzieży roboczej </w:t>
            </w:r>
          </w:p>
          <w:p w14:paraId="0FE89F7A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obliczyć wynagrodzenie za czas nieprzepracowany, np. za czas niezdolności do pracy </w:t>
            </w:r>
          </w:p>
          <w:p w14:paraId="6A3AD5D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nalicza składki na fundusze celowe </w:t>
            </w:r>
          </w:p>
          <w:p w14:paraId="1FBC5D5F" w14:textId="05E533BA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interpretuje sporządzone dokumenty rozliczeniowych do ZUS, polecenie przelewu</w:t>
            </w:r>
          </w:p>
          <w:p w14:paraId="1856D41D" w14:textId="542A8D18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interpretuje sporządzone roczne dokumenty rozliczeniowe PIT - 11, PIT- 4R</w:t>
            </w:r>
          </w:p>
        </w:tc>
        <w:tc>
          <w:tcPr>
            <w:tcW w:w="2728" w:type="dxa"/>
          </w:tcPr>
          <w:p w14:paraId="561424C4" w14:textId="6450E040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potrafi prawidłowo obliczyć wynagrodzenie za czas nieprzepracowany, np. za czas niezdolności do pracy z powodu choroby, urlopu płatnego  </w:t>
            </w:r>
          </w:p>
          <w:p w14:paraId="5DD350F0" w14:textId="0DB7E9AB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potrafi obliczyć obowiązkowe potrącenia z wynagrodzenia  z tytułów cywilnoprawnych  i administracyjno-prawnych, np. potrącenia alimentacyjne  i niealimentacyjne, zaległości podatkowe </w:t>
            </w:r>
          </w:p>
          <w:p w14:paraId="0ED4E9F2" w14:textId="638C069B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potrafi dobrać dokumenty w sprawach emerytalno-rentowych </w:t>
            </w:r>
          </w:p>
          <w:p w14:paraId="191FABD4" w14:textId="624B7AC3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wskazuje i interpretuje różnice pomiędzy obowiązkowym </w:t>
            </w:r>
          </w:p>
          <w:p w14:paraId="6F0F9F5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oskładkowaniem z tytułu ubezpieczeń społecznych pracownika a pracodawcę </w:t>
            </w:r>
          </w:p>
          <w:p w14:paraId="456160D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dobrać dokumenty  rozliczeniowe do ZUS  </w:t>
            </w:r>
          </w:p>
          <w:p w14:paraId="43CDF366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interpretuje i stosuje przepisy prawa dot.  rozliczeń z tytułu ubezpieczeń społecznych</w:t>
            </w:r>
          </w:p>
          <w:p w14:paraId="4EFF663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1CB9" w:rsidRPr="006D5884" w14:paraId="5AFC8464" w14:textId="77777777" w:rsidTr="000D1CB9">
        <w:tc>
          <w:tcPr>
            <w:tcW w:w="1980" w:type="dxa"/>
          </w:tcPr>
          <w:p w14:paraId="4CED7E08" w14:textId="77777777" w:rsidR="000D1CB9" w:rsidRPr="006D5884" w:rsidRDefault="000D1CB9" w:rsidP="006D5884">
            <w:pPr>
              <w:pStyle w:val="Bezodstpw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Inne świadczenia związane z pracą</w:t>
            </w:r>
          </w:p>
        </w:tc>
        <w:tc>
          <w:tcPr>
            <w:tcW w:w="2835" w:type="dxa"/>
          </w:tcPr>
          <w:p w14:paraId="4E08DB23" w14:textId="48A1905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zna pojęcie świadczeń socjalnych</w:t>
            </w:r>
          </w:p>
          <w:p w14:paraId="44CBAC93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wskazuje przepisy prawa obowiązujące pracodawcę w zakresie obowiązku tworzenia Zakładowego Funduszu Świadczeń Socjalnych, w zakresie zasad wypłacania</w:t>
            </w:r>
          </w:p>
          <w:p w14:paraId="54A85B98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pojęcie podroży służbowych</w:t>
            </w:r>
          </w:p>
          <w:p w14:paraId="59CEA80A" w14:textId="792B3DA2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zna zasady rozliczania używania samochodu prywatnego do celów służbowych </w:t>
            </w:r>
          </w:p>
        </w:tc>
        <w:tc>
          <w:tcPr>
            <w:tcW w:w="2538" w:type="dxa"/>
          </w:tcPr>
          <w:p w14:paraId="68116EF5" w14:textId="1CFA3482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definiuje pojęcie świadczeń socjalnych</w:t>
            </w:r>
          </w:p>
          <w:p w14:paraId="7FDA995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przepisy prawa obowiązujące pracodawcę w zakresie świadczeń socjalnych np.: w zakresie obowiązku tworzenia Zakładowego Funduszu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Świadczeń Socjalnych, w zakresie wypłacania świadczeń urlopowych</w:t>
            </w:r>
          </w:p>
          <w:p w14:paraId="0039DE3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określna rodzaje świadczeń pozapłacowych np.: pakiety medyczne, posiłki pracownicze</w:t>
            </w:r>
          </w:p>
          <w:p w14:paraId="470E0F89" w14:textId="1A1FFC13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definiuje pojęcie podroży służbowej</w:t>
            </w:r>
          </w:p>
          <w:p w14:paraId="0176DFC7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zasady rozliczania używania samochodu prywatnego do celów służbowych </w:t>
            </w:r>
          </w:p>
        </w:tc>
        <w:tc>
          <w:tcPr>
            <w:tcW w:w="2583" w:type="dxa"/>
          </w:tcPr>
          <w:p w14:paraId="48739176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omawia rodzaje świadczeń socjalnych</w:t>
            </w:r>
          </w:p>
          <w:p w14:paraId="14A0303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wyjaśnia obowiązek tworzenia Zakładowego Funduszu Świadczeń Socjalnych </w:t>
            </w:r>
          </w:p>
          <w:p w14:paraId="60676754" w14:textId="04325628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określa sposoby wykorzystania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Zakładowego Funduszu Świadczeń Socjalnych </w:t>
            </w:r>
          </w:p>
          <w:p w14:paraId="79F3F32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sporządza polecenie wyjazdu służbowego</w:t>
            </w:r>
          </w:p>
          <w:p w14:paraId="1EC51A9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wypełnia dokumenty do rozliczenia używania do celów służbowych samochodów osobowych niebędących własnością pracodawcy</w:t>
            </w:r>
          </w:p>
          <w:p w14:paraId="0A9A7F8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641C3CDB" w14:textId="45BD249C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t>charakteryzuje świadczenia socjalne</w:t>
            </w:r>
          </w:p>
          <w:p w14:paraId="2A578855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stosuje przepisy prawa obowiązujące pracodawcę w zakresie świadczeń socjalnych </w:t>
            </w:r>
          </w:p>
          <w:p w14:paraId="7B15F87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roczny odpis podstawowy na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Zakładowy Fundusz Świadczeń Socjalnych</w:t>
            </w:r>
          </w:p>
          <w:p w14:paraId="14EB154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rozlicza rachunki kosztów podroży służbowych krajowych i zagranicznych</w:t>
            </w:r>
          </w:p>
          <w:p w14:paraId="199B0E7F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obliczyć kwotę zwrotu z tytułu używania do celów służbowych samochodów osobowych niebędących własnością pracodawcy</w:t>
            </w:r>
          </w:p>
        </w:tc>
        <w:tc>
          <w:tcPr>
            <w:tcW w:w="2728" w:type="dxa"/>
          </w:tcPr>
          <w:p w14:paraId="6C87D43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interpretuje i analizuje przepisy prawa obowiązujące pracodawcę w zakresie świadczeń socjalnych np.: w zakresie obowiązku tworzenia Zakładowego Funduszu Świadczeń Socjalnych, w zakresie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zasad wypłacania świadczeń urlopowych</w:t>
            </w:r>
          </w:p>
          <w:p w14:paraId="31E5E12F" w14:textId="158EC758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sporządza umowę użyczenia samochodu prywatnego do celów służbowych </w:t>
            </w:r>
          </w:p>
        </w:tc>
      </w:tr>
      <w:tr w:rsidR="000D1CB9" w:rsidRPr="006D5884" w14:paraId="4DD702AD" w14:textId="77777777" w:rsidTr="000D1CB9">
        <w:tc>
          <w:tcPr>
            <w:tcW w:w="1980" w:type="dxa"/>
          </w:tcPr>
          <w:p w14:paraId="246FD2A3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Analiza kadr i płac</w:t>
            </w:r>
          </w:p>
        </w:tc>
        <w:tc>
          <w:tcPr>
            <w:tcW w:w="2835" w:type="dxa"/>
          </w:tcPr>
          <w:p w14:paraId="70F076AD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pojęcie analizy kadrowo-płacowej </w:t>
            </w:r>
          </w:p>
          <w:p w14:paraId="5405C548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rozpoznaje cele analizy kadrowo płacowej </w:t>
            </w:r>
          </w:p>
          <w:p w14:paraId="7C6E2D80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zasady gromadzenia i przetwarzania danych kadrowo-płacowych </w:t>
            </w:r>
          </w:p>
          <w:p w14:paraId="29D4793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grupy pracowników w różnych jednostkach organizacyjnych </w:t>
            </w:r>
          </w:p>
          <w:p w14:paraId="573C0F2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identyfikuje czynniki fluktuacji kadr </w:t>
            </w:r>
          </w:p>
          <w:p w14:paraId="361EE80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rozpoznaje wskaźniki wykorzystywane do przeprowadzenia analizy zatrudnienia: płynności kadr, stanu zatrudnienia, wydajności pracy,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dynamiki zatrudnienia, struktury zatrudnienia </w:t>
            </w:r>
          </w:p>
          <w:p w14:paraId="570CC325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rozpoznaje wskaźniki wykorzystywane do przeprowadzenia analizy wynagrodzeń</w:t>
            </w:r>
          </w:p>
          <w:p w14:paraId="5AB8DEC3" w14:textId="7D12D89C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zna zasady prezentacji danych i wyników analizy zatrudnienia oraz wynagrodzeń</w:t>
            </w:r>
          </w:p>
        </w:tc>
        <w:tc>
          <w:tcPr>
            <w:tcW w:w="2538" w:type="dxa"/>
          </w:tcPr>
          <w:p w14:paraId="0146C6D8" w14:textId="37094E32" w:rsidR="000D1CB9" w:rsidRPr="006D5884" w:rsidRDefault="000D1CB9" w:rsidP="006D5884">
            <w:pPr>
              <w:pStyle w:val="Bezodstpw"/>
              <w:numPr>
                <w:ilvl w:val="0"/>
                <w:numId w:val="3"/>
              </w:numPr>
              <w:ind w:left="169" w:hanging="14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omawia pojęcie i cele analizy kadrowo płacowej</w:t>
            </w:r>
          </w:p>
          <w:p w14:paraId="1347047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zasady gromadzenia i przetwarzania danych kadrowo-płacowych </w:t>
            </w:r>
          </w:p>
          <w:p w14:paraId="268230D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rozróżnia grupy pracowników w różnych jednostkach organizacyjnych </w:t>
            </w:r>
          </w:p>
          <w:p w14:paraId="6B9808D2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określa czynniki fluktuacji kadr </w:t>
            </w:r>
          </w:p>
          <w:p w14:paraId="429753A4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i oblicza wskaźniki wykorzystywane do przeprowadzenia analizy zatrudnienia, </w:t>
            </w: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t>płynności kadr, stanu zatrudnienia, wydajności pracy, dynamiki zatrudnienia, struktury zatrudnienia</w:t>
            </w:r>
          </w:p>
          <w:p w14:paraId="427099AA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wymienia i oblicza wskaźniki wykorzystywane do przeprowadzenia analizy wynagrodzeń, np. przeciętne wynagrodzenie w danym okresie, wskaźniki wzrostu</w:t>
            </w:r>
          </w:p>
        </w:tc>
        <w:tc>
          <w:tcPr>
            <w:tcW w:w="2583" w:type="dxa"/>
          </w:tcPr>
          <w:p w14:paraId="74C3D57D" w14:textId="05500711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przeciętny stan zatrudnienia w badanym okresie </w:t>
            </w:r>
          </w:p>
          <w:p w14:paraId="17E2083C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interpretuje wskaźniki wykorzystywane do przeprowadzenia analizy zatrudnienia: płynności kadr, stanu zatrudnienia, wydajności pracy, dynamiki zatrudnienia, struktury zatrudnienia </w:t>
            </w:r>
          </w:p>
          <w:p w14:paraId="5562A7F5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i interpretuje strukturę zatrudnienia wg podanych kryteriów </w:t>
            </w:r>
          </w:p>
          <w:p w14:paraId="44D24AC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ocenia strukturę zatrudnienia </w:t>
            </w:r>
          </w:p>
          <w:p w14:paraId="1E0271A3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interpretuje wskaźniki wynagrodzeń, np. wskaźniki wzrostu wynagrodzeń w badanych okresach, wskaźniki efektywności wynagrodzeń, produktywności wynagrodzeń, wskaźniki rentowności wynagrodzeń </w:t>
            </w:r>
          </w:p>
          <w:p w14:paraId="528AA567" w14:textId="2182479F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stosuje różne formy prezentacji danych i wyników analizy zatrudnienia oraz wynagrodzeń</w:t>
            </w:r>
          </w:p>
        </w:tc>
        <w:tc>
          <w:tcPr>
            <w:tcW w:w="2646" w:type="dxa"/>
          </w:tcPr>
          <w:p w14:paraId="2BF851B6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ustala liczbę zatrudnionych w przeliczeniu na pełne etaty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objaśnia etapy analizy kadrowo-płacowej </w:t>
            </w:r>
          </w:p>
          <w:p w14:paraId="70637F2B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ocenia sytuację zatrudnienia na podstawie obliczonych wskaźników </w:t>
            </w:r>
          </w:p>
          <w:p w14:paraId="34127C79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bada dynamikę zatrudnienia </w:t>
            </w:r>
          </w:p>
          <w:p w14:paraId="443DFE81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 i interpretuje współczynniki płynności kadr </w:t>
            </w:r>
          </w:p>
          <w:p w14:paraId="19597ED2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oblicza, interpretuje i ocenia wydajność pracy </w:t>
            </w:r>
          </w:p>
          <w:p w14:paraId="1962FD9B" w14:textId="1FA740A1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ustala i ocenia stopień wykorzystania czasu pracy </w:t>
            </w:r>
            <w:r w:rsidRPr="006D5884">
              <w:rPr>
                <w:rFonts w:ascii="Calibri" w:hAnsi="Calibri" w:cs="Calibri"/>
                <w:sz w:val="22"/>
                <w:szCs w:val="22"/>
              </w:rPr>
              <w:br/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dokonuje analizy wynagrodzeń</w:t>
            </w:r>
          </w:p>
          <w:p w14:paraId="05A7E972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prezentuje dane i wyniki analizy zatrudnienia oraz wynagrodzeń.</w:t>
            </w:r>
          </w:p>
        </w:tc>
        <w:tc>
          <w:tcPr>
            <w:tcW w:w="2728" w:type="dxa"/>
          </w:tcPr>
          <w:p w14:paraId="15B36E7E" w14:textId="77777777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uzasadnia celowość przeprowadzenia analizy kadrowo płacowej </w:t>
            </w:r>
          </w:p>
          <w:p w14:paraId="1FA29478" w14:textId="5788C714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omówić i zanalizować wady i zalety oraz objaśnić wybór poszczególnych wskaźników wykorzystywanych do przeprowadzenia analizy kadrowo</w:t>
            </w:r>
            <w:r w:rsidR="006D5884">
              <w:rPr>
                <w:rFonts w:ascii="Calibri" w:hAnsi="Calibri" w:cs="Calibri"/>
                <w:sz w:val="22"/>
                <w:szCs w:val="22"/>
              </w:rPr>
              <w:t>-</w:t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płacowej oraz dokonać ich oceny </w:t>
            </w:r>
          </w:p>
          <w:p w14:paraId="117C20A3" w14:textId="77777777" w:rsid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potrafi zastosować nabytą wiedzę z zakresu analizy kadrowo-płacowej przy rozwiązywaniu problemów </w:t>
            </w:r>
          </w:p>
          <w:p w14:paraId="3B267804" w14:textId="7BE168BD" w:rsidR="000D1CB9" w:rsidRPr="006D5884" w:rsidRDefault="000D1C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6D5884">
              <w:rPr>
                <w:rFonts w:ascii="Calibri" w:hAnsi="Calibri" w:cs="Calibri"/>
                <w:sz w:val="22"/>
                <w:szCs w:val="22"/>
              </w:rPr>
              <w:lastRenderedPageBreak/>
              <w:sym w:font="Symbol" w:char="F0B7"/>
            </w:r>
            <w:r w:rsidRPr="006D5884">
              <w:rPr>
                <w:rFonts w:ascii="Calibri" w:hAnsi="Calibri" w:cs="Calibri"/>
                <w:sz w:val="22"/>
                <w:szCs w:val="22"/>
              </w:rPr>
              <w:t xml:space="preserve"> prezentuje dane i wyniki analizy zatrudnienia oraz wynagrodzeń w różnych formach.</w:t>
            </w:r>
          </w:p>
        </w:tc>
      </w:tr>
    </w:tbl>
    <w:p w14:paraId="0A61F246" w14:textId="77777777" w:rsidR="000D1CB9" w:rsidRPr="006D5884" w:rsidRDefault="000D1CB9" w:rsidP="000D1CB9">
      <w:pPr>
        <w:pStyle w:val="Bezodstpw"/>
        <w:rPr>
          <w:rFonts w:ascii="Calibri" w:hAnsi="Calibri" w:cs="Calibri"/>
          <w:sz w:val="22"/>
          <w:szCs w:val="22"/>
        </w:rPr>
      </w:pPr>
    </w:p>
    <w:sectPr w:rsidR="000D1CB9" w:rsidRPr="006D5884" w:rsidSect="000D1C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A5D09"/>
    <w:multiLevelType w:val="hybridMultilevel"/>
    <w:tmpl w:val="C2F49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014DE"/>
    <w:multiLevelType w:val="hybridMultilevel"/>
    <w:tmpl w:val="6026E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562DF"/>
    <w:multiLevelType w:val="hybridMultilevel"/>
    <w:tmpl w:val="91E45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4D"/>
    <w:rsid w:val="000D1CB9"/>
    <w:rsid w:val="00224FE9"/>
    <w:rsid w:val="002D539E"/>
    <w:rsid w:val="00370B9E"/>
    <w:rsid w:val="00375F00"/>
    <w:rsid w:val="00622952"/>
    <w:rsid w:val="006D5884"/>
    <w:rsid w:val="007C3B28"/>
    <w:rsid w:val="007C5995"/>
    <w:rsid w:val="00923F4D"/>
    <w:rsid w:val="009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18A7"/>
  <w15:chartTrackingRefBased/>
  <w15:docId w15:val="{CFDBA282-E094-4F02-B3D3-72E2B4AB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CB9"/>
    <w:pPr>
      <w:spacing w:after="22" w:line="368" w:lineRule="auto"/>
      <w:ind w:left="221" w:hanging="221"/>
    </w:pPr>
    <w:rPr>
      <w:rFonts w:ascii="Times New Roman" w:eastAsia="Times New Roman" w:hAnsi="Times New Roman" w:cs="Times New Roman"/>
      <w:color w:val="000000"/>
      <w:sz w:val="18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3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3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3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3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3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3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3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3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3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3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3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3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3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3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3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3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3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3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3F4D"/>
    <w:pPr>
      <w:numPr>
        <w:ilvl w:val="1"/>
      </w:numPr>
      <w:ind w:left="221" w:hanging="2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3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3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3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3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3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3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3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3F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D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D1CB9"/>
    <w:pPr>
      <w:spacing w:after="0" w:line="240" w:lineRule="auto"/>
      <w:ind w:left="221" w:hanging="221"/>
    </w:pPr>
    <w:rPr>
      <w:rFonts w:ascii="Times New Roman" w:eastAsia="Times New Roman" w:hAnsi="Times New Roman" w:cs="Times New Roman"/>
      <w:color w:val="000000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2059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Elżbieta Fudala</cp:lastModifiedBy>
  <cp:revision>4</cp:revision>
  <dcterms:created xsi:type="dcterms:W3CDTF">2025-02-26T08:05:00Z</dcterms:created>
  <dcterms:modified xsi:type="dcterms:W3CDTF">2025-03-02T14:30:00Z</dcterms:modified>
</cp:coreProperties>
</file>