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0715" w:rsidRDefault="00D243F4">
      <w:pPr>
        <w:pStyle w:val="Standard"/>
        <w:spacing w:line="120" w:lineRule="atLeast"/>
        <w:jc w:val="center"/>
        <w:rPr>
          <w:rFonts w:hint="eastAsia"/>
          <w:sz w:val="40"/>
          <w:szCs w:val="40"/>
        </w:rPr>
      </w:pPr>
      <w:bookmarkStart w:id="0" w:name="_GoBack"/>
      <w:bookmarkEnd w:id="0"/>
      <w:r>
        <w:rPr>
          <w:sz w:val="40"/>
          <w:szCs w:val="40"/>
        </w:rPr>
        <w:t>Przedmiotowy</w:t>
      </w:r>
      <w:r>
        <w:rPr>
          <w:sz w:val="40"/>
          <w:szCs w:val="40"/>
        </w:rPr>
        <w:t xml:space="preserve"> systemu oceniania </w:t>
      </w:r>
      <w:r>
        <w:rPr>
          <w:sz w:val="40"/>
          <w:szCs w:val="40"/>
        </w:rPr>
        <w:br/>
      </w:r>
      <w:r>
        <w:rPr>
          <w:sz w:val="40"/>
          <w:szCs w:val="40"/>
        </w:rPr>
        <w:t>wraz z określeniem wymagań edukacyjnych</w:t>
      </w:r>
    </w:p>
    <w:p w:rsidR="00F70715" w:rsidRDefault="00D243F4">
      <w:pPr>
        <w:pStyle w:val="StronaTytuowaTytu"/>
        <w:spacing w:line="120" w:lineRule="atLeast"/>
      </w:pPr>
      <w:r>
        <w:t>MATeMAtyka</w:t>
      </w:r>
    </w:p>
    <w:p w:rsidR="00F70715" w:rsidRDefault="00D243F4">
      <w:pPr>
        <w:pStyle w:val="StronaTytuowaTytu"/>
        <w:spacing w:line="120" w:lineRule="atLeast"/>
        <w:rPr>
          <w:sz w:val="44"/>
          <w:szCs w:val="44"/>
        </w:rPr>
      </w:pPr>
      <w:r>
        <w:rPr>
          <w:sz w:val="44"/>
          <w:szCs w:val="44"/>
        </w:rPr>
        <w:t>Zakres podstawowy</w:t>
      </w:r>
    </w:p>
    <w:p w:rsidR="00F70715" w:rsidRDefault="00F70715">
      <w:pPr>
        <w:pStyle w:val="Standard"/>
        <w:rPr>
          <w:rFonts w:hint="eastAsia"/>
        </w:rPr>
      </w:pPr>
    </w:p>
    <w:p w:rsidR="00F70715" w:rsidRDefault="00F70715">
      <w:pPr>
        <w:pStyle w:val="Standard"/>
        <w:rPr>
          <w:rFonts w:hint="eastAsia"/>
        </w:rPr>
      </w:pPr>
    </w:p>
    <w:p w:rsidR="00F70715" w:rsidRDefault="00F70715">
      <w:pPr>
        <w:pStyle w:val="Standard"/>
        <w:rPr>
          <w:rFonts w:hint="eastAsia"/>
        </w:rPr>
      </w:pPr>
    </w:p>
    <w:p w:rsidR="00F70715" w:rsidRDefault="00F70715">
      <w:pPr>
        <w:pStyle w:val="Standard"/>
        <w:rPr>
          <w:rFonts w:hint="eastAsia"/>
        </w:rPr>
      </w:pPr>
    </w:p>
    <w:p w:rsidR="00F70715" w:rsidRDefault="00F70715">
      <w:pPr>
        <w:pStyle w:val="Standard"/>
        <w:rPr>
          <w:rFonts w:hint="eastAsia"/>
        </w:rPr>
      </w:pPr>
    </w:p>
    <w:p w:rsidR="00F70715" w:rsidRDefault="00F70715">
      <w:pPr>
        <w:pStyle w:val="Standard"/>
        <w:rPr>
          <w:rFonts w:hint="eastAsia"/>
        </w:rPr>
      </w:pPr>
    </w:p>
    <w:p w:rsidR="00F70715" w:rsidRDefault="00F70715">
      <w:pPr>
        <w:pStyle w:val="Standard"/>
        <w:rPr>
          <w:rFonts w:hint="eastAsia"/>
        </w:rPr>
      </w:pPr>
    </w:p>
    <w:p w:rsidR="00F70715" w:rsidRDefault="00F70715">
      <w:pPr>
        <w:pStyle w:val="Standard"/>
        <w:rPr>
          <w:rFonts w:hint="eastAsia"/>
        </w:rPr>
      </w:pPr>
    </w:p>
    <w:p w:rsidR="00F70715" w:rsidRDefault="00F70715">
      <w:pPr>
        <w:pStyle w:val="Standard"/>
        <w:rPr>
          <w:rFonts w:hint="eastAsia"/>
        </w:rPr>
      </w:pPr>
    </w:p>
    <w:p w:rsidR="00F70715" w:rsidRDefault="00F70715">
      <w:pPr>
        <w:pStyle w:val="Standard"/>
        <w:rPr>
          <w:rFonts w:hint="eastAsia"/>
        </w:rPr>
      </w:pPr>
    </w:p>
    <w:p w:rsidR="00F70715" w:rsidRDefault="00F70715">
      <w:pPr>
        <w:pStyle w:val="Standard"/>
        <w:rPr>
          <w:rFonts w:hint="eastAsia"/>
        </w:rPr>
      </w:pPr>
    </w:p>
    <w:p w:rsidR="00F70715" w:rsidRDefault="00F70715">
      <w:pPr>
        <w:pStyle w:val="Standard"/>
        <w:rPr>
          <w:rFonts w:hint="eastAsia"/>
        </w:rPr>
      </w:pPr>
    </w:p>
    <w:p w:rsidR="00F70715" w:rsidRDefault="00F70715">
      <w:pPr>
        <w:pStyle w:val="Standard"/>
        <w:rPr>
          <w:rFonts w:hint="eastAsia"/>
        </w:rPr>
      </w:pPr>
    </w:p>
    <w:p w:rsidR="00F70715" w:rsidRDefault="00F70715">
      <w:pPr>
        <w:pStyle w:val="Standard"/>
        <w:rPr>
          <w:rFonts w:hint="eastAsia"/>
        </w:rPr>
      </w:pPr>
    </w:p>
    <w:p w:rsidR="00F70715" w:rsidRDefault="00F70715">
      <w:pPr>
        <w:pStyle w:val="Standard"/>
        <w:rPr>
          <w:rFonts w:hint="eastAsia"/>
        </w:rPr>
      </w:pPr>
    </w:p>
    <w:p w:rsidR="00F70715" w:rsidRDefault="00F70715">
      <w:pPr>
        <w:pStyle w:val="Standard"/>
        <w:rPr>
          <w:rFonts w:hint="eastAsia"/>
        </w:rPr>
      </w:pPr>
    </w:p>
    <w:p w:rsidR="00F70715" w:rsidRDefault="00F70715">
      <w:pPr>
        <w:pStyle w:val="Standard"/>
        <w:rPr>
          <w:rFonts w:hint="eastAsia"/>
        </w:rPr>
      </w:pPr>
    </w:p>
    <w:p w:rsidR="00F70715" w:rsidRDefault="00F70715">
      <w:pPr>
        <w:pStyle w:val="Standard"/>
        <w:rPr>
          <w:rFonts w:hint="eastAsia"/>
        </w:rPr>
      </w:pPr>
    </w:p>
    <w:p w:rsidR="00F70715" w:rsidRDefault="00F70715">
      <w:pPr>
        <w:pStyle w:val="Standard"/>
        <w:rPr>
          <w:rFonts w:hint="eastAsia"/>
        </w:rPr>
      </w:pPr>
    </w:p>
    <w:p w:rsidR="00F70715" w:rsidRDefault="00F70715">
      <w:pPr>
        <w:pStyle w:val="Standard"/>
        <w:rPr>
          <w:rFonts w:hint="eastAsia"/>
        </w:rPr>
      </w:pPr>
    </w:p>
    <w:p w:rsidR="00F70715" w:rsidRDefault="00F70715">
      <w:pPr>
        <w:pStyle w:val="Standard"/>
        <w:rPr>
          <w:rFonts w:hint="eastAsia"/>
        </w:rPr>
      </w:pPr>
    </w:p>
    <w:p w:rsidR="00F70715" w:rsidRDefault="00F70715">
      <w:pPr>
        <w:pStyle w:val="Standard"/>
        <w:rPr>
          <w:rFonts w:hint="eastAsia"/>
        </w:rPr>
      </w:pPr>
    </w:p>
    <w:p w:rsidR="00F70715" w:rsidRDefault="00F70715">
      <w:pPr>
        <w:pStyle w:val="Standard"/>
        <w:rPr>
          <w:rFonts w:hint="eastAsia"/>
        </w:rPr>
      </w:pPr>
    </w:p>
    <w:p w:rsidR="00F70715" w:rsidRDefault="00F70715">
      <w:pPr>
        <w:pStyle w:val="Standard"/>
        <w:rPr>
          <w:rFonts w:hint="eastAsia"/>
        </w:rPr>
      </w:pPr>
    </w:p>
    <w:p w:rsidR="00F70715" w:rsidRDefault="00F70715">
      <w:pPr>
        <w:pStyle w:val="Standard"/>
        <w:rPr>
          <w:rFonts w:hint="eastAsia"/>
        </w:rPr>
      </w:pPr>
    </w:p>
    <w:p w:rsidR="00F70715" w:rsidRDefault="00F70715">
      <w:pPr>
        <w:pStyle w:val="Standard"/>
        <w:rPr>
          <w:rFonts w:hint="eastAsia"/>
        </w:rPr>
      </w:pPr>
    </w:p>
    <w:p w:rsidR="00F70715" w:rsidRDefault="00F70715">
      <w:pPr>
        <w:pStyle w:val="Standard"/>
        <w:rPr>
          <w:rFonts w:hint="eastAsia"/>
        </w:rPr>
      </w:pPr>
    </w:p>
    <w:p w:rsidR="00F70715" w:rsidRDefault="00F70715">
      <w:pPr>
        <w:pStyle w:val="Standard"/>
        <w:rPr>
          <w:rFonts w:hint="eastAsia"/>
        </w:rPr>
      </w:pPr>
    </w:p>
    <w:p w:rsidR="00F70715" w:rsidRDefault="00F70715">
      <w:pPr>
        <w:pStyle w:val="Standard"/>
        <w:rPr>
          <w:rFonts w:hint="eastAsia"/>
        </w:rPr>
      </w:pPr>
    </w:p>
    <w:p w:rsidR="00F70715" w:rsidRDefault="00D243F4">
      <w:pPr>
        <w:pStyle w:val="Textbodyindent"/>
        <w:pageBreakBefore/>
        <w:spacing w:line="120" w:lineRule="atLeast"/>
        <w:ind w:left="0"/>
        <w:jc w:val="both"/>
        <w:rPr>
          <w:rFonts w:hint="eastAsia"/>
        </w:rPr>
      </w:pPr>
      <w:r>
        <w:rPr>
          <w:rFonts w:ascii="Cambria" w:eastAsia="Calibri" w:hAnsi="Cambria"/>
          <w:iCs/>
          <w:sz w:val="22"/>
          <w:szCs w:val="22"/>
          <w:lang w:eastAsia="en-US"/>
        </w:rPr>
        <w:lastRenderedPageBreak/>
        <w:t>Wyróżnione zostały następujące wymagania programowe: konieczne (K), podstawowe (P), rozszerzające (R), dopełniające (D) i wykraczające</w:t>
      </w:r>
      <w:r>
        <w:rPr>
          <w:rFonts w:ascii="Cambria" w:eastAsia="Calibri" w:hAnsi="Cambria"/>
          <w:iCs/>
          <w:sz w:val="22"/>
          <w:szCs w:val="22"/>
          <w:lang w:eastAsia="en-US"/>
        </w:rPr>
        <w:t xml:space="preserve"> (W). Wymienione poziomy wymagań odpowiadają w przybliżeniu ocenom szkolnym. Nauczyciel, określając te poziomy, powinien zatem sprecyzować, czy opanowania pewnych czynności lub wiedzy będzie wymagał na ocenę dopuszczającą (2), dostateczną (3), dobrą (4), b</w:t>
      </w:r>
      <w:r>
        <w:rPr>
          <w:rFonts w:ascii="Cambria" w:eastAsia="Calibri" w:hAnsi="Cambria"/>
          <w:iCs/>
          <w:sz w:val="22"/>
          <w:szCs w:val="22"/>
          <w:lang w:eastAsia="en-US"/>
        </w:rPr>
        <w:t>ardzo dobrą (5) lub celującą (6).</w:t>
      </w:r>
    </w:p>
    <w:p w:rsidR="00F70715" w:rsidRDefault="00F70715">
      <w:pPr>
        <w:pStyle w:val="Standard"/>
        <w:spacing w:line="120" w:lineRule="atLeast"/>
        <w:jc w:val="both"/>
        <w:rPr>
          <w:rFonts w:ascii="Cambria" w:hAnsi="Cambria"/>
          <w:sz w:val="22"/>
          <w:szCs w:val="22"/>
        </w:rPr>
      </w:pPr>
    </w:p>
    <w:p w:rsidR="00F70715" w:rsidRDefault="00D243F4">
      <w:pPr>
        <w:pStyle w:val="Standard"/>
        <w:numPr>
          <w:ilvl w:val="0"/>
          <w:numId w:val="59"/>
        </w:numPr>
        <w:tabs>
          <w:tab w:val="left" w:pos="720"/>
        </w:tabs>
        <w:spacing w:line="120" w:lineRule="atLeast"/>
        <w:jc w:val="both"/>
        <w:rPr>
          <w:rFonts w:hint="eastAsia"/>
        </w:rPr>
      </w:pPr>
      <w:r>
        <w:rPr>
          <w:rFonts w:ascii="Cambria" w:hAnsi="Cambria"/>
          <w:sz w:val="22"/>
          <w:szCs w:val="22"/>
        </w:rPr>
        <w:t xml:space="preserve">Wymagania </w:t>
      </w:r>
      <w:r>
        <w:rPr>
          <w:rFonts w:ascii="Cambria" w:hAnsi="Cambria"/>
          <w:b/>
          <w:sz w:val="22"/>
          <w:szCs w:val="22"/>
        </w:rPr>
        <w:t>konieczne (K)</w:t>
      </w:r>
      <w:r>
        <w:rPr>
          <w:rFonts w:ascii="Cambria" w:hAnsi="Cambria"/>
          <w:sz w:val="22"/>
          <w:szCs w:val="22"/>
        </w:rPr>
        <w:t xml:space="preserve"> dotyczą zagadnień elementarnych, stanowiących swego rodzaju podstawę, zatem powinny być opanowane przez każdego ucznia.</w:t>
      </w:r>
    </w:p>
    <w:p w:rsidR="00F70715" w:rsidRDefault="00D243F4">
      <w:pPr>
        <w:pStyle w:val="Standard"/>
        <w:numPr>
          <w:ilvl w:val="0"/>
          <w:numId w:val="14"/>
        </w:numPr>
        <w:tabs>
          <w:tab w:val="left" w:pos="720"/>
        </w:tabs>
        <w:spacing w:line="120" w:lineRule="atLeast"/>
        <w:jc w:val="both"/>
        <w:rPr>
          <w:rFonts w:hint="eastAsia"/>
        </w:rPr>
      </w:pPr>
      <w:r>
        <w:rPr>
          <w:rFonts w:ascii="Cambria" w:hAnsi="Cambria"/>
          <w:sz w:val="22"/>
          <w:szCs w:val="22"/>
        </w:rPr>
        <w:t xml:space="preserve">Wymagania </w:t>
      </w:r>
      <w:r>
        <w:rPr>
          <w:rFonts w:ascii="Cambria" w:hAnsi="Cambria"/>
          <w:b/>
          <w:sz w:val="22"/>
          <w:szCs w:val="22"/>
        </w:rPr>
        <w:t>podstawowe (P)</w:t>
      </w:r>
      <w:r>
        <w:rPr>
          <w:rFonts w:ascii="Cambria" w:hAnsi="Cambria"/>
          <w:sz w:val="22"/>
          <w:szCs w:val="22"/>
        </w:rPr>
        <w:t xml:space="preserve"> zawierają wymagania z poziomu (K) wzbogacone </w:t>
      </w:r>
      <w:r>
        <w:rPr>
          <w:rFonts w:ascii="Cambria" w:hAnsi="Cambria"/>
          <w:sz w:val="22"/>
          <w:szCs w:val="22"/>
        </w:rPr>
        <w:br/>
      </w:r>
      <w:r>
        <w:rPr>
          <w:rFonts w:ascii="Cambria" w:hAnsi="Cambria"/>
          <w:sz w:val="22"/>
          <w:szCs w:val="22"/>
        </w:rPr>
        <w:t>o typo</w:t>
      </w:r>
      <w:r>
        <w:rPr>
          <w:rFonts w:ascii="Cambria" w:hAnsi="Cambria"/>
          <w:sz w:val="22"/>
          <w:szCs w:val="22"/>
        </w:rPr>
        <w:t>we problemy o niewielkim stopniu trudności.</w:t>
      </w:r>
    </w:p>
    <w:p w:rsidR="00F70715" w:rsidRDefault="00D243F4">
      <w:pPr>
        <w:pStyle w:val="Standard"/>
        <w:numPr>
          <w:ilvl w:val="0"/>
          <w:numId w:val="14"/>
        </w:numPr>
        <w:tabs>
          <w:tab w:val="left" w:pos="720"/>
        </w:tabs>
        <w:spacing w:line="120" w:lineRule="atLeast"/>
        <w:jc w:val="both"/>
        <w:rPr>
          <w:rFonts w:hint="eastAsia"/>
        </w:rPr>
      </w:pPr>
      <w:r>
        <w:rPr>
          <w:rFonts w:ascii="Cambria" w:hAnsi="Cambria"/>
          <w:sz w:val="22"/>
          <w:szCs w:val="22"/>
        </w:rPr>
        <w:t xml:space="preserve">Wymagania </w:t>
      </w:r>
      <w:r>
        <w:rPr>
          <w:rFonts w:ascii="Cambria" w:hAnsi="Cambria"/>
          <w:b/>
          <w:sz w:val="22"/>
          <w:szCs w:val="22"/>
        </w:rPr>
        <w:t>rozszerzające (R)</w:t>
      </w:r>
      <w:r>
        <w:rPr>
          <w:rFonts w:ascii="Cambria" w:hAnsi="Cambria"/>
          <w:sz w:val="22"/>
          <w:szCs w:val="22"/>
        </w:rPr>
        <w:t>, zawierające wymagania z poziomów (K) i (P), dotyczą zagadnień bardziej złożonych i nieco trudniejszych.</w:t>
      </w:r>
    </w:p>
    <w:p w:rsidR="00F70715" w:rsidRDefault="00D243F4">
      <w:pPr>
        <w:pStyle w:val="Standard"/>
        <w:numPr>
          <w:ilvl w:val="0"/>
          <w:numId w:val="14"/>
        </w:numPr>
        <w:tabs>
          <w:tab w:val="left" w:pos="720"/>
        </w:tabs>
        <w:spacing w:line="120" w:lineRule="atLeast"/>
        <w:jc w:val="both"/>
        <w:rPr>
          <w:rFonts w:hint="eastAsia"/>
        </w:rPr>
      </w:pPr>
      <w:r>
        <w:rPr>
          <w:rFonts w:ascii="Cambria" w:hAnsi="Cambria"/>
          <w:sz w:val="22"/>
          <w:szCs w:val="22"/>
        </w:rPr>
        <w:t xml:space="preserve">Wymagania </w:t>
      </w:r>
      <w:r>
        <w:rPr>
          <w:rFonts w:ascii="Cambria" w:hAnsi="Cambria"/>
          <w:b/>
          <w:sz w:val="22"/>
          <w:szCs w:val="22"/>
        </w:rPr>
        <w:t>dopełniające (D)</w:t>
      </w:r>
      <w:r>
        <w:rPr>
          <w:rFonts w:ascii="Cambria" w:hAnsi="Cambria"/>
          <w:sz w:val="22"/>
          <w:szCs w:val="22"/>
        </w:rPr>
        <w:t>, zawierające wymagania z poziomów (K), (P) i (R), do</w:t>
      </w:r>
      <w:r>
        <w:rPr>
          <w:rFonts w:ascii="Cambria" w:hAnsi="Cambria"/>
          <w:sz w:val="22"/>
          <w:szCs w:val="22"/>
        </w:rPr>
        <w:t>tyczą zagadnień problemowych, trudniejszych, wymagających umiejętności przetwarzania przyswojonych informacji.</w:t>
      </w:r>
    </w:p>
    <w:p w:rsidR="00F70715" w:rsidRDefault="00D243F4">
      <w:pPr>
        <w:pStyle w:val="Standard"/>
        <w:numPr>
          <w:ilvl w:val="0"/>
          <w:numId w:val="14"/>
        </w:numPr>
        <w:tabs>
          <w:tab w:val="left" w:pos="720"/>
        </w:tabs>
        <w:spacing w:line="120" w:lineRule="atLeast"/>
        <w:jc w:val="both"/>
        <w:rPr>
          <w:rFonts w:hint="eastAsia"/>
        </w:rPr>
      </w:pPr>
      <w:r>
        <w:rPr>
          <w:rFonts w:ascii="Cambria" w:hAnsi="Cambria"/>
          <w:sz w:val="22"/>
          <w:szCs w:val="22"/>
        </w:rPr>
        <w:t xml:space="preserve">Wymagania </w:t>
      </w:r>
      <w:r>
        <w:rPr>
          <w:rFonts w:ascii="Cambria" w:hAnsi="Cambria"/>
          <w:b/>
          <w:sz w:val="22"/>
          <w:szCs w:val="22"/>
        </w:rPr>
        <w:t>wykraczające (W)</w:t>
      </w:r>
      <w:r>
        <w:rPr>
          <w:rFonts w:ascii="Cambria" w:hAnsi="Cambria"/>
          <w:sz w:val="22"/>
          <w:szCs w:val="22"/>
        </w:rPr>
        <w:t xml:space="preserve"> dotyczą zagadnień trudnych i oryginalnych.</w:t>
      </w:r>
    </w:p>
    <w:p w:rsidR="00F70715" w:rsidRDefault="00F70715">
      <w:pPr>
        <w:pStyle w:val="Standard"/>
        <w:spacing w:line="120" w:lineRule="atLeast"/>
        <w:ind w:left="360"/>
        <w:jc w:val="both"/>
        <w:rPr>
          <w:rFonts w:ascii="Cambria" w:hAnsi="Cambria"/>
          <w:sz w:val="22"/>
          <w:szCs w:val="22"/>
        </w:rPr>
      </w:pPr>
    </w:p>
    <w:p w:rsidR="00F70715" w:rsidRDefault="00D243F4">
      <w:pPr>
        <w:pStyle w:val="Standard"/>
        <w:spacing w:after="120" w:line="120" w:lineRule="atLeast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Poniżej przedstawiony został podział wymagań na poszczególne oceny </w:t>
      </w:r>
      <w:r>
        <w:rPr>
          <w:rFonts w:ascii="Cambria" w:hAnsi="Cambria"/>
          <w:sz w:val="22"/>
          <w:szCs w:val="22"/>
        </w:rPr>
        <w:t>szkolne:</w:t>
      </w:r>
    </w:p>
    <w:p w:rsidR="00F70715" w:rsidRDefault="00D243F4">
      <w:pPr>
        <w:pStyle w:val="Standard"/>
        <w:tabs>
          <w:tab w:val="left" w:pos="2880"/>
          <w:tab w:val="left" w:pos="3240"/>
        </w:tabs>
        <w:spacing w:line="120" w:lineRule="atLeast"/>
        <w:ind w:firstLine="72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ocena dopuszczająca</w:t>
      </w:r>
      <w:r>
        <w:rPr>
          <w:rFonts w:ascii="Cambria" w:hAnsi="Cambria"/>
          <w:sz w:val="22"/>
          <w:szCs w:val="22"/>
        </w:rPr>
        <w:tab/>
        <w:t xml:space="preserve">– </w:t>
      </w:r>
      <w:r>
        <w:rPr>
          <w:rFonts w:ascii="Cambria" w:hAnsi="Cambria"/>
          <w:sz w:val="22"/>
          <w:szCs w:val="22"/>
        </w:rPr>
        <w:tab/>
        <w:t>wymagania na poziomie (K)</w:t>
      </w:r>
    </w:p>
    <w:p w:rsidR="00F70715" w:rsidRDefault="00D243F4">
      <w:pPr>
        <w:pStyle w:val="Standard"/>
        <w:tabs>
          <w:tab w:val="left" w:pos="2880"/>
          <w:tab w:val="left" w:pos="3240"/>
        </w:tabs>
        <w:spacing w:line="120" w:lineRule="atLeast"/>
        <w:ind w:firstLine="72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ocena dostateczna</w:t>
      </w:r>
      <w:r>
        <w:rPr>
          <w:rFonts w:ascii="Cambria" w:hAnsi="Cambria"/>
          <w:sz w:val="22"/>
          <w:szCs w:val="22"/>
        </w:rPr>
        <w:tab/>
        <w:t xml:space="preserve">– </w:t>
      </w:r>
      <w:r>
        <w:rPr>
          <w:rFonts w:ascii="Cambria" w:hAnsi="Cambria"/>
          <w:sz w:val="22"/>
          <w:szCs w:val="22"/>
        </w:rPr>
        <w:tab/>
        <w:t>wymagania na poziomie (K) i (P)</w:t>
      </w:r>
    </w:p>
    <w:p w:rsidR="00F70715" w:rsidRDefault="00D243F4">
      <w:pPr>
        <w:pStyle w:val="Standard"/>
        <w:tabs>
          <w:tab w:val="left" w:pos="2880"/>
          <w:tab w:val="left" w:pos="3240"/>
        </w:tabs>
        <w:spacing w:line="120" w:lineRule="atLeast"/>
        <w:ind w:firstLine="72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ocena dobra</w:t>
      </w:r>
      <w:r>
        <w:rPr>
          <w:rFonts w:ascii="Cambria" w:hAnsi="Cambria"/>
          <w:sz w:val="22"/>
          <w:szCs w:val="22"/>
        </w:rPr>
        <w:tab/>
        <w:t xml:space="preserve">– </w:t>
      </w:r>
      <w:r>
        <w:rPr>
          <w:rFonts w:ascii="Cambria" w:hAnsi="Cambria"/>
          <w:sz w:val="22"/>
          <w:szCs w:val="22"/>
        </w:rPr>
        <w:tab/>
        <w:t>wymagania na poziomie (K), (P) i (R)</w:t>
      </w:r>
    </w:p>
    <w:p w:rsidR="00F70715" w:rsidRDefault="00D243F4">
      <w:pPr>
        <w:pStyle w:val="Standard"/>
        <w:tabs>
          <w:tab w:val="left" w:pos="2880"/>
          <w:tab w:val="left" w:pos="3240"/>
        </w:tabs>
        <w:spacing w:line="120" w:lineRule="atLeast"/>
        <w:ind w:firstLine="72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ocena bardzo dobra</w:t>
      </w:r>
      <w:r>
        <w:rPr>
          <w:rFonts w:ascii="Cambria" w:hAnsi="Cambria"/>
          <w:sz w:val="22"/>
          <w:szCs w:val="22"/>
        </w:rPr>
        <w:tab/>
        <w:t xml:space="preserve">– </w:t>
      </w:r>
      <w:r>
        <w:rPr>
          <w:rFonts w:ascii="Cambria" w:hAnsi="Cambria"/>
          <w:sz w:val="22"/>
          <w:szCs w:val="22"/>
        </w:rPr>
        <w:tab/>
        <w:t>wymagania na poziomie (K), (P), (R) i (D)</w:t>
      </w:r>
    </w:p>
    <w:p w:rsidR="00F70715" w:rsidRDefault="00D243F4">
      <w:pPr>
        <w:pStyle w:val="Standard"/>
        <w:tabs>
          <w:tab w:val="left" w:pos="2880"/>
          <w:tab w:val="left" w:pos="3240"/>
        </w:tabs>
        <w:spacing w:line="120" w:lineRule="atLeast"/>
        <w:ind w:firstLine="72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ocena celująca</w:t>
      </w:r>
      <w:r>
        <w:rPr>
          <w:rFonts w:ascii="Cambria" w:hAnsi="Cambria"/>
          <w:sz w:val="22"/>
          <w:szCs w:val="22"/>
        </w:rPr>
        <w:tab/>
        <w:t xml:space="preserve">– </w:t>
      </w:r>
      <w:r>
        <w:rPr>
          <w:rFonts w:ascii="Cambria" w:hAnsi="Cambria"/>
          <w:sz w:val="22"/>
          <w:szCs w:val="22"/>
        </w:rPr>
        <w:tab/>
        <w:t>wymagania n</w:t>
      </w:r>
      <w:r>
        <w:rPr>
          <w:rFonts w:ascii="Cambria" w:hAnsi="Cambria"/>
          <w:sz w:val="22"/>
          <w:szCs w:val="22"/>
        </w:rPr>
        <w:t>a poziomie (K), (P), (R), (D) i (W)</w:t>
      </w:r>
    </w:p>
    <w:p w:rsidR="00F70715" w:rsidRDefault="00F70715">
      <w:pPr>
        <w:pStyle w:val="Standard"/>
        <w:spacing w:line="120" w:lineRule="atLeast"/>
        <w:ind w:left="360"/>
        <w:jc w:val="both"/>
        <w:rPr>
          <w:rFonts w:ascii="Cambria" w:hAnsi="Cambria"/>
          <w:sz w:val="22"/>
          <w:szCs w:val="22"/>
        </w:rPr>
      </w:pPr>
    </w:p>
    <w:p w:rsidR="00F70715" w:rsidRDefault="00F70715">
      <w:pPr>
        <w:pStyle w:val="Standard"/>
        <w:spacing w:line="120" w:lineRule="atLeast"/>
        <w:ind w:firstLine="360"/>
        <w:jc w:val="both"/>
        <w:rPr>
          <w:rFonts w:hint="eastAsia"/>
          <w:sz w:val="22"/>
          <w:szCs w:val="22"/>
        </w:rPr>
      </w:pPr>
    </w:p>
    <w:p w:rsidR="00F70715" w:rsidRDefault="00D243F4">
      <w:pPr>
        <w:pStyle w:val="Standard"/>
        <w:spacing w:line="120" w:lineRule="atLeast"/>
        <w:jc w:val="both"/>
        <w:rPr>
          <w:rFonts w:ascii="Cambria" w:hAnsi="Cambria"/>
          <w:color w:val="0066B3"/>
          <w:sz w:val="22"/>
          <w:szCs w:val="22"/>
        </w:rPr>
      </w:pPr>
      <w:r>
        <w:rPr>
          <w:rFonts w:ascii="Cambria" w:hAnsi="Cambria"/>
          <w:color w:val="0066B3"/>
          <w:sz w:val="22"/>
          <w:szCs w:val="22"/>
        </w:rPr>
        <w:t>KLASA III</w:t>
      </w:r>
    </w:p>
    <w:p w:rsidR="00F70715" w:rsidRDefault="00D243F4">
      <w:pPr>
        <w:pStyle w:val="Nagwek2"/>
        <w:rPr>
          <w:color w:val="000000"/>
        </w:rPr>
      </w:pPr>
      <w:r>
        <w:rPr>
          <w:rFonts w:ascii="Times New Roman" w:hAnsi="Times New Roman"/>
          <w:color w:val="000000"/>
          <w:sz w:val="22"/>
          <w:szCs w:val="22"/>
        </w:rPr>
        <w:t>10. FUNKCJE WYMIERNE</w:t>
      </w:r>
    </w:p>
    <w:p w:rsidR="00F70715" w:rsidRDefault="00D243F4">
      <w:pPr>
        <w:pStyle w:val="Standard"/>
        <w:jc w:val="both"/>
        <w:rPr>
          <w:rFonts w:hint="eastAsia"/>
        </w:rPr>
      </w:pPr>
      <w:r>
        <w:rPr>
          <w:sz w:val="22"/>
          <w:szCs w:val="22"/>
        </w:rPr>
        <w:t xml:space="preserve">Poziom </w:t>
      </w:r>
      <w:r>
        <w:rPr>
          <w:b/>
          <w:bCs/>
          <w:sz w:val="22"/>
          <w:szCs w:val="22"/>
        </w:rPr>
        <w:t xml:space="preserve">(K) </w:t>
      </w:r>
      <w:r>
        <w:rPr>
          <w:sz w:val="22"/>
          <w:szCs w:val="22"/>
        </w:rPr>
        <w:t>lub</w:t>
      </w:r>
      <w:r>
        <w:rPr>
          <w:b/>
          <w:bCs/>
          <w:sz w:val="22"/>
          <w:szCs w:val="22"/>
        </w:rPr>
        <w:t xml:space="preserve"> (P)</w:t>
      </w:r>
    </w:p>
    <w:p w:rsidR="00F70715" w:rsidRDefault="00D243F4">
      <w:pPr>
        <w:pStyle w:val="Standard"/>
        <w:jc w:val="both"/>
        <w:rPr>
          <w:rFonts w:hint="eastAsia"/>
        </w:rPr>
      </w:pPr>
      <w:r>
        <w:rPr>
          <w:sz w:val="22"/>
          <w:szCs w:val="22"/>
        </w:rPr>
        <w:t xml:space="preserve">Uczeń otrzymuje ocenę </w:t>
      </w:r>
      <w:r>
        <w:rPr>
          <w:b/>
          <w:bCs/>
          <w:sz w:val="22"/>
          <w:szCs w:val="22"/>
        </w:rPr>
        <w:t xml:space="preserve">dopuszczającą </w:t>
      </w:r>
      <w:r>
        <w:rPr>
          <w:sz w:val="22"/>
          <w:szCs w:val="22"/>
        </w:rPr>
        <w:t xml:space="preserve">lub </w:t>
      </w:r>
      <w:r>
        <w:rPr>
          <w:b/>
          <w:bCs/>
          <w:sz w:val="22"/>
          <w:szCs w:val="22"/>
        </w:rPr>
        <w:t>dostateczną</w:t>
      </w:r>
      <w:r>
        <w:rPr>
          <w:sz w:val="22"/>
          <w:szCs w:val="22"/>
        </w:rPr>
        <w:t>, jeśli:</w:t>
      </w:r>
    </w:p>
    <w:tbl>
      <w:tblPr>
        <w:tblW w:w="906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2"/>
      </w:tblGrid>
      <w:tr w:rsidR="00F70715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F70715" w:rsidRDefault="00D243F4">
            <w:pPr>
              <w:pStyle w:val="Standard"/>
              <w:numPr>
                <w:ilvl w:val="0"/>
                <w:numId w:val="60"/>
              </w:numPr>
              <w:rPr>
                <w:rFonts w:hint="eastAsia"/>
              </w:rPr>
            </w:pPr>
            <w:r>
              <w:rPr>
                <w:sz w:val="22"/>
                <w:szCs w:val="22"/>
              </w:rPr>
              <w:t xml:space="preserve">szkicuje wykres funkcji </w:t>
            </w:r>
            <m:oMath>
              <m:r>
                <w:rPr>
                  <w:rFonts w:ascii="Cambria Math" w:hAnsi="Cambria Math"/>
                </w:rPr>
                <m:t>f</m:t>
              </m:r>
              <m: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x</m:t>
              </m:r>
              <m:r>
                <w:rPr>
                  <w:rFonts w:ascii="Cambria Math" w:hAnsi="Cambria Math"/>
                </w:rPr>
                <m:t>)=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a</m:t>
                  </m:r>
                </m:num>
                <m:den>
                  <m:r>
                    <w:rPr>
                      <w:rFonts w:ascii="Cambria Math" w:hAnsi="Cambria Math"/>
                    </w:rPr>
                    <m:t>x</m:t>
                  </m:r>
                </m:den>
              </m:f>
            </m:oMath>
            <w:r>
              <w:rPr>
                <w:sz w:val="22"/>
                <w:szCs w:val="22"/>
              </w:rPr>
              <w:t xml:space="preserve"> (w prostych przypadkach także w podanym zbiorze), gdzie </w:t>
            </w:r>
            <m:oMath>
              <m:r>
                <w:rPr>
                  <w:rFonts w:ascii="Cambria Math" w:hAnsi="Cambria Math"/>
                </w:rPr>
                <m:t>a</m:t>
              </m:r>
              <m:r>
                <w:rPr>
                  <w:rFonts w:ascii="Cambria Math" w:hAnsi="Cambria Math"/>
                </w:rPr>
                <m:t>≠0</m:t>
              </m:r>
            </m:oMath>
            <w:r>
              <w:rPr>
                <w:sz w:val="22"/>
                <w:szCs w:val="22"/>
              </w:rPr>
              <w:t>, i podaje jej własności (dziedzinę, zbiór wartości, przedziały monotoniczności)</w:t>
            </w:r>
          </w:p>
        </w:tc>
      </w:tr>
      <w:tr w:rsidR="00F70715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F70715" w:rsidRDefault="00D243F4">
            <w:pPr>
              <w:pStyle w:val="Standard"/>
              <w:numPr>
                <w:ilvl w:val="0"/>
                <w:numId w:val="8"/>
              </w:numPr>
              <w:rPr>
                <w:rFonts w:hint="eastAsia"/>
              </w:rPr>
            </w:pPr>
            <w:r>
              <w:rPr>
                <w:sz w:val="22"/>
                <w:szCs w:val="22"/>
              </w:rPr>
              <w:t xml:space="preserve">przesuwa wykres funkcji </w:t>
            </w:r>
            <m:oMath>
              <m:r>
                <w:rPr>
                  <w:rFonts w:ascii="Cambria Math" w:hAnsi="Cambria Math"/>
                </w:rPr>
                <m:t>f</m:t>
              </m:r>
              <m: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x</m:t>
              </m:r>
              <m:r>
                <w:rPr>
                  <w:rFonts w:ascii="Cambria Math" w:hAnsi="Cambria Math"/>
                </w:rPr>
                <m:t>)=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a</m:t>
                  </m:r>
                </m:num>
                <m:den>
                  <m:r>
                    <w:rPr>
                      <w:rFonts w:ascii="Cambria Math" w:hAnsi="Cambria Math"/>
                    </w:rPr>
                    <m:t>x</m:t>
                  </m:r>
                </m:den>
              </m:f>
            </m:oMath>
            <w:r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 xml:space="preserve">gdzie </w:t>
            </w:r>
            <m:oMath>
              <m:r>
                <w:rPr>
                  <w:rFonts w:ascii="Cambria Math" w:hAnsi="Cambria Math"/>
                </w:rPr>
                <m:t>a</m:t>
              </m:r>
              <m:r>
                <w:rPr>
                  <w:rFonts w:ascii="Cambria Math" w:hAnsi="Cambria Math"/>
                </w:rPr>
                <m:t>≠0</m:t>
              </m:r>
            </m:oMath>
            <w:r>
              <w:rPr>
                <w:sz w:val="22"/>
                <w:szCs w:val="22"/>
              </w:rPr>
              <w:t xml:space="preserve">, wzdłuż osi </w:t>
            </w:r>
            <w:r>
              <w:rPr>
                <w:i/>
                <w:sz w:val="22"/>
                <w:szCs w:val="22"/>
              </w:rPr>
              <w:t>OX</w:t>
            </w:r>
            <w:r>
              <w:rPr>
                <w:sz w:val="22"/>
                <w:szCs w:val="22"/>
              </w:rPr>
              <w:t xml:space="preserve"> albo wzdłuż osi </w:t>
            </w:r>
            <w:r>
              <w:rPr>
                <w:i/>
                <w:sz w:val="22"/>
                <w:szCs w:val="22"/>
              </w:rPr>
              <w:t>OY</w:t>
            </w:r>
            <w:r>
              <w:rPr>
                <w:sz w:val="22"/>
                <w:szCs w:val="22"/>
              </w:rPr>
              <w:t>, podaje jej własności oraz wyznacza równania asymptot jej wykresu</w:t>
            </w:r>
          </w:p>
        </w:tc>
      </w:tr>
      <w:tr w:rsidR="00F70715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F70715" w:rsidRDefault="00D243F4">
            <w:pPr>
              <w:pStyle w:val="Standard"/>
              <w:numPr>
                <w:ilvl w:val="0"/>
                <w:numId w:val="61"/>
              </w:numPr>
              <w:rPr>
                <w:rFonts w:hint="eastAsia"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wyznacza dziedzinę prostego wyrażenia wymiernego</w:t>
            </w:r>
          </w:p>
        </w:tc>
      </w:tr>
      <w:tr w:rsidR="00F70715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F70715" w:rsidRDefault="00D243F4">
            <w:pPr>
              <w:pStyle w:val="Standard"/>
              <w:numPr>
                <w:ilvl w:val="0"/>
                <w:numId w:val="6"/>
              </w:numPr>
              <w:rPr>
                <w:rFonts w:hint="eastAsia"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oblicza wartość wyrażenia wymiernego dla danej wartości zmiennej</w:t>
            </w:r>
          </w:p>
        </w:tc>
      </w:tr>
      <w:tr w:rsidR="00F70715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F70715" w:rsidRDefault="00D243F4">
            <w:pPr>
              <w:pStyle w:val="Standard"/>
              <w:numPr>
                <w:ilvl w:val="0"/>
                <w:numId w:val="6"/>
              </w:numPr>
              <w:rPr>
                <w:rFonts w:hint="eastAsia"/>
              </w:rPr>
            </w:pPr>
            <w:r>
              <w:rPr>
                <w:bCs/>
                <w:sz w:val="22"/>
                <w:szCs w:val="22"/>
              </w:rPr>
              <w:t xml:space="preserve">upraszcza wyrażenia wymierne </w:t>
            </w:r>
            <w:r>
              <w:rPr>
                <w:bCs/>
                <w:color w:val="000000"/>
                <w:sz w:val="22"/>
                <w:szCs w:val="22"/>
              </w:rPr>
              <w:t>w p</w:t>
            </w:r>
            <w:r>
              <w:rPr>
                <w:bCs/>
                <w:color w:val="000000"/>
                <w:sz w:val="22"/>
                <w:szCs w:val="22"/>
              </w:rPr>
              <w:t>rostych przypadkach</w:t>
            </w:r>
          </w:p>
        </w:tc>
      </w:tr>
      <w:tr w:rsidR="00F70715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F70715" w:rsidRDefault="00D243F4">
            <w:pPr>
              <w:pStyle w:val="Standard"/>
              <w:numPr>
                <w:ilvl w:val="0"/>
                <w:numId w:val="6"/>
              </w:numPr>
              <w:rPr>
                <w:rFonts w:hint="eastAsia"/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mnoży, dzieli wyrażenia wymierne w prostych przypadkach i podaje odpowiednie założenia</w:t>
            </w:r>
          </w:p>
        </w:tc>
      </w:tr>
      <w:tr w:rsidR="00F70715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F70715" w:rsidRDefault="00D243F4">
            <w:pPr>
              <w:pStyle w:val="Standard"/>
              <w:numPr>
                <w:ilvl w:val="0"/>
                <w:numId w:val="6"/>
              </w:numPr>
              <w:rPr>
                <w:rFonts w:hint="eastAsia"/>
              </w:rPr>
            </w:pPr>
            <w:r>
              <w:rPr>
                <w:bCs/>
                <w:sz w:val="22"/>
                <w:szCs w:val="22"/>
              </w:rPr>
              <w:t xml:space="preserve">rozwiązuje równania wymierne </w:t>
            </w:r>
            <w:r>
              <w:rPr>
                <w:bCs/>
                <w:color w:val="000000"/>
                <w:sz w:val="22"/>
                <w:szCs w:val="22"/>
              </w:rPr>
              <w:t xml:space="preserve">w prostych przypadkach, </w:t>
            </w:r>
            <w:r>
              <w:rPr>
                <w:bCs/>
                <w:sz w:val="22"/>
                <w:szCs w:val="22"/>
              </w:rPr>
              <w:t>podaje i uwzględnia założenia</w:t>
            </w:r>
          </w:p>
        </w:tc>
      </w:tr>
      <w:tr w:rsidR="00F70715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F70715" w:rsidRDefault="00D243F4">
            <w:pPr>
              <w:pStyle w:val="Standard"/>
              <w:numPr>
                <w:ilvl w:val="0"/>
                <w:numId w:val="6"/>
              </w:numPr>
              <w:rPr>
                <w:rFonts w:hint="eastAsia"/>
              </w:rPr>
            </w:pPr>
            <w:r>
              <w:rPr>
                <w:bCs/>
                <w:sz w:val="22"/>
                <w:szCs w:val="22"/>
              </w:rPr>
              <w:t>wykorzystuje wyrażenia wymierne do rozwiązywania zadań tekstowy</w:t>
            </w:r>
            <w:r>
              <w:rPr>
                <w:bCs/>
                <w:sz w:val="22"/>
                <w:szCs w:val="22"/>
              </w:rPr>
              <w:t>ch</w:t>
            </w:r>
            <w:r>
              <w:rPr>
                <w:bCs/>
                <w:color w:val="000000"/>
                <w:sz w:val="22"/>
                <w:szCs w:val="22"/>
              </w:rPr>
              <w:t xml:space="preserve"> w prostych przypadkach</w:t>
            </w:r>
          </w:p>
        </w:tc>
      </w:tr>
      <w:tr w:rsidR="00F70715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F70715" w:rsidRDefault="00D243F4">
            <w:pPr>
              <w:pStyle w:val="Standard"/>
              <w:numPr>
                <w:ilvl w:val="0"/>
                <w:numId w:val="6"/>
              </w:numPr>
              <w:rPr>
                <w:rFonts w:hint="eastAsia"/>
              </w:rPr>
            </w:pPr>
            <w:r>
              <w:rPr>
                <w:bCs/>
                <w:sz w:val="22"/>
                <w:szCs w:val="22"/>
              </w:rPr>
              <w:t xml:space="preserve">stosuje własności wartości bezwzględnej do rozwiązywania równań postaci </w:t>
            </w:r>
            <m:oMath>
              <m:r>
                <w:rPr>
                  <w:rFonts w:ascii="Cambria Math" w:hAnsi="Cambria Math"/>
                </w:rPr>
                <m:t>|</m:t>
              </m:r>
              <m:r>
                <w:rPr>
                  <w:rFonts w:ascii="Cambria Math" w:hAnsi="Cambria Math"/>
                </w:rPr>
                <m:t>x</m:t>
              </m:r>
              <m: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a</m:t>
              </m:r>
              <m:r>
                <w:rPr>
                  <w:rFonts w:ascii="Cambria Math" w:hAnsi="Cambria Math"/>
                </w:rPr>
                <m:t>|=</m:t>
              </m:r>
              <m:r>
                <w:rPr>
                  <w:rFonts w:ascii="Cambria Math" w:hAnsi="Cambria Math"/>
                </w:rPr>
                <m:t>b</m:t>
              </m:r>
            </m:oMath>
            <w:r>
              <w:rPr>
                <w:bCs/>
                <w:sz w:val="22"/>
                <w:szCs w:val="22"/>
              </w:rPr>
              <w:t xml:space="preserve"> </w:t>
            </w:r>
          </w:p>
        </w:tc>
      </w:tr>
      <w:tr w:rsidR="00F70715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F70715" w:rsidRDefault="00D243F4">
            <w:pPr>
              <w:pStyle w:val="Standard"/>
              <w:numPr>
                <w:ilvl w:val="0"/>
                <w:numId w:val="6"/>
              </w:numPr>
              <w:rPr>
                <w:rFonts w:hint="eastAsia"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wykorzystuje wyrażenia wymierne do rozwiązywania zadań tekstowych prostych zadań tekstowych</w:t>
            </w:r>
          </w:p>
        </w:tc>
      </w:tr>
    </w:tbl>
    <w:p w:rsidR="00F70715" w:rsidRDefault="00F70715">
      <w:pPr>
        <w:pStyle w:val="Standard"/>
        <w:jc w:val="both"/>
        <w:rPr>
          <w:rFonts w:hint="eastAsia"/>
          <w:sz w:val="22"/>
          <w:szCs w:val="22"/>
        </w:rPr>
      </w:pPr>
    </w:p>
    <w:p w:rsidR="00F70715" w:rsidRDefault="00D243F4">
      <w:pPr>
        <w:pStyle w:val="Standard"/>
        <w:jc w:val="both"/>
        <w:rPr>
          <w:rFonts w:hint="eastAsia"/>
        </w:rPr>
      </w:pPr>
      <w:r>
        <w:rPr>
          <w:sz w:val="22"/>
          <w:szCs w:val="22"/>
        </w:rPr>
        <w:t xml:space="preserve">Poziom </w:t>
      </w:r>
      <w:r>
        <w:rPr>
          <w:b/>
          <w:bCs/>
          <w:sz w:val="22"/>
          <w:szCs w:val="22"/>
        </w:rPr>
        <w:t>(R)</w:t>
      </w:r>
      <w:r>
        <w:rPr>
          <w:sz w:val="22"/>
          <w:szCs w:val="22"/>
        </w:rPr>
        <w:t xml:space="preserve"> lub </w:t>
      </w:r>
      <w:r>
        <w:rPr>
          <w:b/>
          <w:bCs/>
          <w:sz w:val="22"/>
          <w:szCs w:val="22"/>
        </w:rPr>
        <w:t>(D)</w:t>
      </w:r>
    </w:p>
    <w:p w:rsidR="00F70715" w:rsidRDefault="00D243F4">
      <w:pPr>
        <w:pStyle w:val="Standard"/>
        <w:jc w:val="both"/>
        <w:rPr>
          <w:rFonts w:hint="eastAsia"/>
        </w:rPr>
      </w:pPr>
      <w:r>
        <w:rPr>
          <w:sz w:val="22"/>
          <w:szCs w:val="22"/>
        </w:rPr>
        <w:t xml:space="preserve">Uczeń otrzymuje ocenę </w:t>
      </w:r>
      <w:r>
        <w:rPr>
          <w:b/>
          <w:bCs/>
          <w:sz w:val="22"/>
          <w:szCs w:val="22"/>
        </w:rPr>
        <w:t>dobrą</w:t>
      </w:r>
      <w:r>
        <w:rPr>
          <w:sz w:val="22"/>
          <w:szCs w:val="22"/>
        </w:rPr>
        <w:t xml:space="preserve"> lub </w:t>
      </w:r>
      <w:r>
        <w:rPr>
          <w:b/>
          <w:bCs/>
          <w:sz w:val="22"/>
          <w:szCs w:val="22"/>
        </w:rPr>
        <w:t>bardzo dobrą</w:t>
      </w:r>
      <w:r>
        <w:rPr>
          <w:sz w:val="22"/>
          <w:szCs w:val="22"/>
        </w:rPr>
        <w:t>, jeśli opanował poziomy (K) i (P) oraz dodatkowo:</w:t>
      </w:r>
    </w:p>
    <w:tbl>
      <w:tblPr>
        <w:tblW w:w="906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2"/>
      </w:tblGrid>
      <w:tr w:rsidR="00F70715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F70715" w:rsidRDefault="00D243F4">
            <w:pPr>
              <w:pStyle w:val="Standard"/>
              <w:numPr>
                <w:ilvl w:val="0"/>
                <w:numId w:val="8"/>
              </w:numPr>
              <w:rPr>
                <w:rFonts w:hint="eastAsia"/>
              </w:rPr>
            </w:pPr>
            <w:r>
              <w:rPr>
                <w:bCs/>
                <w:sz w:val="22"/>
                <w:szCs w:val="22"/>
              </w:rPr>
              <w:t xml:space="preserve">szkicuje wykres funkcji </w:t>
            </w:r>
            <m:oMath>
              <m:r>
                <w:rPr>
                  <w:rFonts w:ascii="Cambria Math" w:hAnsi="Cambria Math"/>
                </w:rPr>
                <m:t>f</m:t>
              </m:r>
              <m: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x</m:t>
              </m:r>
              <m:r>
                <w:rPr>
                  <w:rFonts w:ascii="Cambria Math" w:hAnsi="Cambria Math"/>
                </w:rPr>
                <m:t>)=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a</m:t>
                  </m:r>
                </m:num>
                <m:den>
                  <m:r>
                    <w:rPr>
                      <w:rFonts w:ascii="Cambria Math" w:hAnsi="Cambria Math"/>
                    </w:rPr>
                    <m:t>x</m:t>
                  </m:r>
                </m:den>
              </m:f>
            </m:oMath>
            <w:r>
              <w:rPr>
                <w:sz w:val="22"/>
                <w:szCs w:val="22"/>
              </w:rPr>
              <w:t xml:space="preserve">, gdzie </w:t>
            </w:r>
            <m:oMath>
              <m:r>
                <w:rPr>
                  <w:rFonts w:ascii="Cambria Math" w:hAnsi="Cambria Math"/>
                </w:rPr>
                <m:t>a</m:t>
              </m:r>
              <m:r>
                <w:rPr>
                  <w:rFonts w:ascii="Cambria Math" w:hAnsi="Cambria Math"/>
                </w:rPr>
                <m:t>≠0</m:t>
              </m:r>
            </m:oMath>
            <w:r>
              <w:rPr>
                <w:sz w:val="22"/>
                <w:szCs w:val="22"/>
              </w:rPr>
              <w:t>, w podanym zbiorze w trudniejszych przypadkach</w:t>
            </w:r>
          </w:p>
        </w:tc>
      </w:tr>
      <w:tr w:rsidR="00F70715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F70715" w:rsidRDefault="00D243F4">
            <w:pPr>
              <w:pStyle w:val="Standard"/>
              <w:numPr>
                <w:ilvl w:val="0"/>
                <w:numId w:val="8"/>
              </w:numPr>
              <w:rPr>
                <w:rFonts w:hint="eastAsia"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dobiera wzór funkcji do jej wykresu</w:t>
            </w:r>
          </w:p>
        </w:tc>
      </w:tr>
      <w:tr w:rsidR="00F70715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F70715" w:rsidRDefault="00D243F4">
            <w:pPr>
              <w:pStyle w:val="Standard"/>
              <w:numPr>
                <w:ilvl w:val="0"/>
                <w:numId w:val="8"/>
              </w:numPr>
              <w:rPr>
                <w:rFonts w:hint="eastAsia"/>
              </w:rPr>
            </w:pPr>
            <w:r>
              <w:rPr>
                <w:sz w:val="22"/>
                <w:szCs w:val="22"/>
              </w:rPr>
              <w:t xml:space="preserve">wyznacza współczynnik </w:t>
            </w:r>
            <w:r>
              <w:rPr>
                <w:i/>
                <w:iCs/>
                <w:sz w:val="22"/>
                <w:szCs w:val="22"/>
              </w:rPr>
              <w:t xml:space="preserve">a </w:t>
            </w:r>
            <w:r>
              <w:rPr>
                <w:sz w:val="22"/>
                <w:szCs w:val="22"/>
              </w:rPr>
              <w:t xml:space="preserve">tak, aby </w:t>
            </w:r>
            <w:r>
              <w:rPr>
                <w:sz w:val="22"/>
                <w:szCs w:val="22"/>
              </w:rPr>
              <w:t xml:space="preserve">funkcja </w:t>
            </w:r>
            <m:oMath>
              <m:r>
                <w:rPr>
                  <w:rFonts w:ascii="Cambria Math" w:hAnsi="Cambria Math"/>
                </w:rPr>
                <m:t>f</m:t>
              </m:r>
              <m: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x</m:t>
              </m:r>
              <m:r>
                <w:rPr>
                  <w:rFonts w:ascii="Cambria Math" w:hAnsi="Cambria Math"/>
                </w:rPr>
                <m:t>)=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a</m:t>
                  </m:r>
                </m:num>
                <m:den>
                  <m:r>
                    <w:rPr>
                      <w:rFonts w:ascii="Cambria Math" w:hAnsi="Cambria Math"/>
                    </w:rPr>
                    <m:t>x</m:t>
                  </m:r>
                </m:den>
              </m:f>
            </m:oMath>
            <w:r>
              <w:rPr>
                <w:sz w:val="22"/>
                <w:szCs w:val="22"/>
              </w:rPr>
              <w:t xml:space="preserve"> spełniała podane warunki</w:t>
            </w:r>
          </w:p>
        </w:tc>
      </w:tr>
      <w:tr w:rsidR="00F70715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F70715" w:rsidRDefault="00D243F4">
            <w:pPr>
              <w:pStyle w:val="Standard"/>
              <w:numPr>
                <w:ilvl w:val="0"/>
                <w:numId w:val="8"/>
              </w:numPr>
              <w:rPr>
                <w:rFonts w:hint="eastAsia"/>
              </w:rPr>
            </w:pPr>
            <w:r>
              <w:rPr>
                <w:bCs/>
                <w:sz w:val="22"/>
                <w:szCs w:val="22"/>
              </w:rPr>
              <w:lastRenderedPageBreak/>
              <w:t xml:space="preserve">szkicuje wykres funkcji </w:t>
            </w:r>
            <m:oMath>
              <m:r>
                <w:rPr>
                  <w:rFonts w:ascii="Cambria Math" w:hAnsi="Cambria Math"/>
                </w:rPr>
                <m:t>f</m:t>
              </m:r>
              <m: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x</m:t>
              </m:r>
              <m:r>
                <w:rPr>
                  <w:rFonts w:ascii="Cambria Math" w:hAnsi="Cambria Math"/>
                </w:rPr>
                <m:t>)=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a</m:t>
                  </m:r>
                </m:num>
                <m:den>
                  <m:r>
                    <w:rPr>
                      <w:rFonts w:ascii="Cambria Math" w:hAnsi="Cambria Math"/>
                    </w:rPr>
                    <m:t>x</m:t>
                  </m:r>
                  <m: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 w:hAnsi="Cambria Math"/>
                    </w:rPr>
                    <m:t>p</m:t>
                  </m:r>
                </m:den>
              </m:f>
              <m:r>
                <w:rPr>
                  <w:rFonts w:ascii="Cambria Math" w:hAnsi="Cambria Math"/>
                </w:rPr>
                <m:t>+</m:t>
              </m:r>
              <m:r>
                <w:rPr>
                  <w:rFonts w:ascii="Cambria Math" w:hAnsi="Cambria Math"/>
                </w:rPr>
                <m:t>q</m:t>
              </m:r>
            </m:oMath>
            <w:r>
              <w:rPr>
                <w:sz w:val="22"/>
                <w:szCs w:val="22"/>
              </w:rPr>
              <w:t xml:space="preserve">, gdzie </w:t>
            </w:r>
            <m:oMath>
              <m:r>
                <w:rPr>
                  <w:rFonts w:ascii="Cambria Math" w:hAnsi="Cambria Math"/>
                </w:rPr>
                <m:t>x</m:t>
              </m:r>
              <m:r>
                <w:rPr>
                  <w:rFonts w:ascii="Cambria Math" w:hAnsi="Cambria Math"/>
                </w:rPr>
                <m:t>∈</m:t>
              </m:r>
              <m:r>
                <w:rPr>
                  <w:rFonts w:ascii="Cambria Math" w:hAnsi="Cambria Math"/>
                </w:rPr>
                <m:t>Rp</m:t>
              </m:r>
              <m:r>
                <w:rPr>
                  <w:rFonts w:ascii="Cambria Math" w:hAnsi="Cambria Math"/>
                </w:rPr>
                <m:t>}</m:t>
              </m:r>
            </m:oMath>
            <w:r>
              <w:rPr>
                <w:sz w:val="22"/>
                <w:szCs w:val="22"/>
              </w:rPr>
              <w:t xml:space="preserve"> i </w:t>
            </w:r>
            <m:oMath>
              <m:r>
                <w:rPr>
                  <w:rFonts w:ascii="Cambria Math" w:hAnsi="Cambria Math"/>
                </w:rPr>
                <m:t>a</m:t>
              </m:r>
              <m:r>
                <w:rPr>
                  <w:rFonts w:ascii="Cambria Math" w:hAnsi="Cambria Math"/>
                </w:rPr>
                <m:t>≠0</m:t>
              </m:r>
            </m:oMath>
            <w:r>
              <w:rPr>
                <w:sz w:val="22"/>
                <w:szCs w:val="22"/>
              </w:rPr>
              <w:t>, i wyznacza równania jej asymptot</w:t>
            </w:r>
          </w:p>
        </w:tc>
      </w:tr>
      <w:tr w:rsidR="00F70715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F70715" w:rsidRDefault="00D243F4">
            <w:pPr>
              <w:pStyle w:val="Standard"/>
              <w:numPr>
                <w:ilvl w:val="0"/>
                <w:numId w:val="8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wyznacza równanie hiperboli na podstawie informacji podanych na rysunku</w:t>
            </w:r>
          </w:p>
        </w:tc>
      </w:tr>
      <w:tr w:rsidR="00F70715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F70715" w:rsidRDefault="00D243F4">
            <w:pPr>
              <w:pStyle w:val="Standard"/>
              <w:numPr>
                <w:ilvl w:val="0"/>
                <w:numId w:val="8"/>
              </w:numPr>
              <w:rPr>
                <w:rFonts w:hint="eastAsia"/>
              </w:rPr>
            </w:pPr>
            <w:r>
              <w:rPr>
                <w:bCs/>
                <w:color w:val="000000"/>
                <w:sz w:val="22"/>
                <w:szCs w:val="22"/>
              </w:rPr>
              <w:t>mnoży, dzieli wyrażenia wymierne</w:t>
            </w:r>
            <w:r>
              <w:rPr>
                <w:sz w:val="22"/>
                <w:szCs w:val="22"/>
              </w:rPr>
              <w:t xml:space="preserve"> w trudniejszych przypadkach</w:t>
            </w:r>
            <w:r>
              <w:rPr>
                <w:bCs/>
                <w:color w:val="000000"/>
                <w:sz w:val="22"/>
                <w:szCs w:val="22"/>
              </w:rPr>
              <w:t xml:space="preserve"> i podaje odpowie</w:t>
            </w:r>
            <w:r>
              <w:rPr>
                <w:bCs/>
                <w:color w:val="000000"/>
                <w:sz w:val="22"/>
                <w:szCs w:val="22"/>
              </w:rPr>
              <w:t>dnie założenia</w:t>
            </w:r>
          </w:p>
        </w:tc>
      </w:tr>
      <w:tr w:rsidR="00F70715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F70715" w:rsidRDefault="00D243F4">
            <w:pPr>
              <w:pStyle w:val="Standard"/>
              <w:numPr>
                <w:ilvl w:val="0"/>
                <w:numId w:val="8"/>
              </w:numPr>
              <w:rPr>
                <w:rFonts w:hint="eastAsia"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określa dziedzinę funkcji, w której wzorze występuje ułamek</w:t>
            </w:r>
          </w:p>
        </w:tc>
      </w:tr>
      <w:tr w:rsidR="00F70715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F70715" w:rsidRDefault="00D243F4">
            <w:pPr>
              <w:pStyle w:val="Standard"/>
              <w:numPr>
                <w:ilvl w:val="0"/>
                <w:numId w:val="8"/>
              </w:numPr>
              <w:rPr>
                <w:rFonts w:hint="eastAsia"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wyznacza z danego wzoru wskazaną zmienną</w:t>
            </w:r>
          </w:p>
        </w:tc>
      </w:tr>
      <w:tr w:rsidR="00F70715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F70715" w:rsidRDefault="00D243F4">
            <w:pPr>
              <w:pStyle w:val="Standard"/>
              <w:numPr>
                <w:ilvl w:val="0"/>
                <w:numId w:val="8"/>
              </w:numPr>
              <w:rPr>
                <w:rFonts w:hint="eastAsia"/>
              </w:rPr>
            </w:pPr>
            <w:r>
              <w:rPr>
                <w:bCs/>
                <w:sz w:val="22"/>
                <w:szCs w:val="22"/>
              </w:rPr>
              <w:t>rozwiązuje równania wymierne</w:t>
            </w:r>
            <w:r>
              <w:rPr>
                <w:sz w:val="22"/>
                <w:szCs w:val="22"/>
              </w:rPr>
              <w:t xml:space="preserve"> w trudniejszych przypadkach</w:t>
            </w:r>
          </w:p>
        </w:tc>
      </w:tr>
      <w:tr w:rsidR="00F70715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F70715" w:rsidRDefault="00D243F4">
            <w:pPr>
              <w:pStyle w:val="Standard"/>
              <w:numPr>
                <w:ilvl w:val="0"/>
                <w:numId w:val="8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podaje interpretację geometryczną rozwiązania równania wymiernego</w:t>
            </w:r>
          </w:p>
        </w:tc>
      </w:tr>
      <w:tr w:rsidR="00F70715">
        <w:tblPrEx>
          <w:tblCellMar>
            <w:top w:w="0" w:type="dxa"/>
            <w:bottom w:w="0" w:type="dxa"/>
          </w:tblCellMar>
        </w:tblPrEx>
        <w:trPr>
          <w:trHeight w:val="248"/>
        </w:trPr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F70715" w:rsidRDefault="00D243F4">
            <w:pPr>
              <w:pStyle w:val="Standard"/>
              <w:numPr>
                <w:ilvl w:val="0"/>
                <w:numId w:val="8"/>
              </w:numPr>
              <w:rPr>
                <w:rFonts w:hint="eastAsia"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wykorzystuje wyrażenia wymierne do rozwiązywania trudniejszych zadań tekstowych</w:t>
            </w:r>
          </w:p>
        </w:tc>
      </w:tr>
      <w:tr w:rsidR="00F70715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F70715" w:rsidRDefault="00D243F4">
            <w:pPr>
              <w:pStyle w:val="Standard"/>
              <w:numPr>
                <w:ilvl w:val="0"/>
                <w:numId w:val="8"/>
              </w:numPr>
              <w:rPr>
                <w:rFonts w:hint="eastAsia"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stosuje własności wartości bezwzględnej do rozwiązywania równań</w:t>
            </w:r>
          </w:p>
        </w:tc>
      </w:tr>
    </w:tbl>
    <w:p w:rsidR="00F70715" w:rsidRDefault="00F70715">
      <w:pPr>
        <w:pStyle w:val="Standard"/>
        <w:jc w:val="both"/>
        <w:rPr>
          <w:rFonts w:hint="eastAsia"/>
          <w:sz w:val="22"/>
          <w:szCs w:val="22"/>
        </w:rPr>
      </w:pPr>
    </w:p>
    <w:p w:rsidR="00F70715" w:rsidRDefault="00D243F4">
      <w:pPr>
        <w:pStyle w:val="Standard"/>
        <w:jc w:val="both"/>
        <w:rPr>
          <w:rFonts w:hint="eastAsia"/>
        </w:rPr>
      </w:pPr>
      <w:r>
        <w:rPr>
          <w:sz w:val="22"/>
          <w:szCs w:val="22"/>
        </w:rPr>
        <w:t>Poziom</w:t>
      </w:r>
      <w:r>
        <w:rPr>
          <w:b/>
          <w:bCs/>
          <w:sz w:val="22"/>
          <w:szCs w:val="22"/>
        </w:rPr>
        <w:t xml:space="preserve"> (W)</w:t>
      </w:r>
    </w:p>
    <w:p w:rsidR="00F70715" w:rsidRDefault="00D243F4">
      <w:pPr>
        <w:pStyle w:val="Textbody"/>
        <w:rPr>
          <w:rFonts w:hint="eastAsia"/>
        </w:rPr>
      </w:pPr>
      <w:r>
        <w:rPr>
          <w:sz w:val="22"/>
          <w:szCs w:val="22"/>
        </w:rPr>
        <w:t xml:space="preserve">Uczeń otrzymuje ocenę </w:t>
      </w:r>
      <w:r>
        <w:rPr>
          <w:b/>
          <w:bCs/>
          <w:sz w:val="22"/>
          <w:szCs w:val="22"/>
        </w:rPr>
        <w:t>celującą</w:t>
      </w:r>
      <w:r>
        <w:rPr>
          <w:sz w:val="22"/>
          <w:szCs w:val="22"/>
        </w:rPr>
        <w:t>, jeśli opanował wiedzę i umiejętności z poziomów (K)–(D) oraz:</w:t>
      </w:r>
    </w:p>
    <w:tbl>
      <w:tblPr>
        <w:tblW w:w="906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2"/>
      </w:tblGrid>
      <w:tr w:rsidR="00F70715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F70715" w:rsidRDefault="00D243F4">
            <w:pPr>
              <w:pStyle w:val="Standard"/>
              <w:numPr>
                <w:ilvl w:val="0"/>
                <w:numId w:val="8"/>
              </w:numPr>
              <w:rPr>
                <w:rFonts w:hint="eastAsia"/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stosuje funkcje i wyrażenia wymierne do rozwiązywania zadań o podwyższonym stopniu trudności</w:t>
            </w:r>
          </w:p>
        </w:tc>
      </w:tr>
    </w:tbl>
    <w:p w:rsidR="00F70715" w:rsidRDefault="00F70715">
      <w:pPr>
        <w:pStyle w:val="Standard"/>
        <w:rPr>
          <w:rFonts w:hint="eastAsia"/>
          <w:sz w:val="22"/>
          <w:szCs w:val="22"/>
        </w:rPr>
      </w:pPr>
    </w:p>
    <w:p w:rsidR="00F70715" w:rsidRDefault="00D243F4">
      <w:pPr>
        <w:pStyle w:val="Nagwek1"/>
        <w:rPr>
          <w:rFonts w:hint="eastAsia"/>
        </w:rPr>
      </w:pPr>
      <w:r>
        <w:rPr>
          <w:rFonts w:ascii="Times New Roman" w:hAnsi="Times New Roman"/>
          <w:sz w:val="22"/>
          <w:szCs w:val="22"/>
        </w:rPr>
        <w:t>11. TRYGONOMETRIA</w:t>
      </w:r>
    </w:p>
    <w:p w:rsidR="00F70715" w:rsidRDefault="00D243F4">
      <w:pPr>
        <w:pStyle w:val="Standard"/>
        <w:jc w:val="both"/>
        <w:rPr>
          <w:rFonts w:hint="eastAsia"/>
        </w:rPr>
      </w:pPr>
      <w:r>
        <w:rPr>
          <w:sz w:val="22"/>
          <w:szCs w:val="22"/>
        </w:rPr>
        <w:t xml:space="preserve">Poziom </w:t>
      </w:r>
      <w:r>
        <w:rPr>
          <w:b/>
          <w:bCs/>
          <w:sz w:val="22"/>
          <w:szCs w:val="22"/>
        </w:rPr>
        <w:t xml:space="preserve">(K) </w:t>
      </w:r>
      <w:r>
        <w:rPr>
          <w:sz w:val="22"/>
          <w:szCs w:val="22"/>
        </w:rPr>
        <w:t>lub</w:t>
      </w:r>
      <w:r>
        <w:rPr>
          <w:b/>
          <w:bCs/>
          <w:sz w:val="22"/>
          <w:szCs w:val="22"/>
        </w:rPr>
        <w:t xml:space="preserve"> (P)</w:t>
      </w:r>
    </w:p>
    <w:p w:rsidR="00F70715" w:rsidRDefault="00D243F4">
      <w:pPr>
        <w:pStyle w:val="Standard"/>
        <w:jc w:val="both"/>
        <w:rPr>
          <w:rFonts w:hint="eastAsia"/>
        </w:rPr>
      </w:pPr>
      <w:r>
        <w:rPr>
          <w:sz w:val="22"/>
          <w:szCs w:val="22"/>
        </w:rPr>
        <w:t xml:space="preserve">Uczeń otrzymuje ocenę </w:t>
      </w:r>
      <w:r>
        <w:rPr>
          <w:b/>
          <w:bCs/>
          <w:sz w:val="22"/>
          <w:szCs w:val="22"/>
        </w:rPr>
        <w:t>dopuszcz</w:t>
      </w:r>
      <w:r>
        <w:rPr>
          <w:b/>
          <w:bCs/>
          <w:sz w:val="22"/>
          <w:szCs w:val="22"/>
        </w:rPr>
        <w:t xml:space="preserve">ającą </w:t>
      </w:r>
      <w:r>
        <w:rPr>
          <w:sz w:val="22"/>
          <w:szCs w:val="22"/>
        </w:rPr>
        <w:t xml:space="preserve">lub </w:t>
      </w:r>
      <w:r>
        <w:rPr>
          <w:b/>
          <w:bCs/>
          <w:sz w:val="22"/>
          <w:szCs w:val="22"/>
        </w:rPr>
        <w:t>dostateczną</w:t>
      </w:r>
      <w:r>
        <w:rPr>
          <w:sz w:val="22"/>
          <w:szCs w:val="22"/>
        </w:rPr>
        <w:t>, jeśli:</w:t>
      </w:r>
    </w:p>
    <w:tbl>
      <w:tblPr>
        <w:tblW w:w="906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2"/>
      </w:tblGrid>
      <w:tr w:rsidR="00F70715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F70715" w:rsidRDefault="00D243F4">
            <w:pPr>
              <w:pStyle w:val="Standard"/>
              <w:numPr>
                <w:ilvl w:val="0"/>
                <w:numId w:val="62"/>
              </w:numPr>
              <w:rPr>
                <w:rFonts w:hint="eastAsia"/>
              </w:rPr>
            </w:pPr>
            <w:r>
              <w:rPr>
                <w:sz w:val="22"/>
                <w:szCs w:val="22"/>
              </w:rPr>
              <w:t>stosuje twierdzenie Pitagorasa i twierdzenie odwrotne do twierdzenie Pitagorasa</w:t>
            </w:r>
            <w:r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color w:val="000000"/>
                <w:sz w:val="22"/>
                <w:szCs w:val="22"/>
              </w:rPr>
              <w:t>w prostych przypadkach</w:t>
            </w:r>
          </w:p>
        </w:tc>
      </w:tr>
      <w:tr w:rsidR="00F70715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F70715" w:rsidRDefault="00D243F4">
            <w:pPr>
              <w:pStyle w:val="Standard"/>
              <w:numPr>
                <w:ilvl w:val="0"/>
                <w:numId w:val="9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wykorzystuje wzory na długość przekątnej kwadratu i wysokość trójkąta równobocznego</w:t>
            </w:r>
          </w:p>
        </w:tc>
      </w:tr>
      <w:tr w:rsidR="00F70715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F70715" w:rsidRDefault="00D243F4">
            <w:pPr>
              <w:pStyle w:val="Standard"/>
              <w:numPr>
                <w:ilvl w:val="0"/>
                <w:numId w:val="9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oblicza wartości funkcji </w:t>
            </w:r>
            <w:r>
              <w:rPr>
                <w:sz w:val="22"/>
                <w:szCs w:val="22"/>
              </w:rPr>
              <w:t>trygonometrycznych kąta ostrego w trójkącie prostokątnym o danych długościach boków</w:t>
            </w:r>
          </w:p>
        </w:tc>
      </w:tr>
      <w:tr w:rsidR="00F70715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F70715" w:rsidRDefault="00D243F4">
            <w:pPr>
              <w:pStyle w:val="Standard"/>
              <w:numPr>
                <w:ilvl w:val="0"/>
                <w:numId w:val="9"/>
              </w:numPr>
              <w:jc w:val="both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podaje wartości funkcji trygonometrycznych kątów: 30°, 45°, 60°</w:t>
            </w:r>
          </w:p>
        </w:tc>
      </w:tr>
      <w:tr w:rsidR="00F70715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F70715" w:rsidRDefault="00D243F4">
            <w:pPr>
              <w:pStyle w:val="Standard"/>
              <w:numPr>
                <w:ilvl w:val="0"/>
                <w:numId w:val="9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odczytuje z tablic wartości funkcji trygonometrycznych danego kąta ostrego</w:t>
            </w:r>
          </w:p>
        </w:tc>
      </w:tr>
      <w:tr w:rsidR="00F70715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F70715" w:rsidRDefault="00D243F4">
            <w:pPr>
              <w:pStyle w:val="Standard"/>
              <w:numPr>
                <w:ilvl w:val="0"/>
                <w:numId w:val="9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odczytuje z tablic miarę kąta</w:t>
            </w:r>
            <w:r>
              <w:rPr>
                <w:sz w:val="22"/>
                <w:szCs w:val="22"/>
              </w:rPr>
              <w:t xml:space="preserve"> ostrego, gdy zna wartość jego funkcji trygonometrycznej</w:t>
            </w:r>
          </w:p>
        </w:tc>
      </w:tr>
      <w:tr w:rsidR="00F70715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F70715" w:rsidRDefault="00D243F4">
            <w:pPr>
              <w:pStyle w:val="Standard"/>
              <w:numPr>
                <w:ilvl w:val="0"/>
                <w:numId w:val="9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podaje związki między funkcjami trygonometrycznymi tego samego kąta</w:t>
            </w:r>
          </w:p>
        </w:tc>
      </w:tr>
      <w:tr w:rsidR="00F70715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F70715" w:rsidRDefault="00D243F4">
            <w:pPr>
              <w:pStyle w:val="Akapitzlist"/>
              <w:numPr>
                <w:ilvl w:val="0"/>
                <w:numId w:val="9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oblicza wartości pozostałych funkcji trygonometrycznych, gdy dany jest sinus lub cosinus kąta</w:t>
            </w:r>
          </w:p>
        </w:tc>
      </w:tr>
      <w:tr w:rsidR="00F70715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F70715" w:rsidRDefault="00D243F4">
            <w:pPr>
              <w:pStyle w:val="Standard"/>
              <w:numPr>
                <w:ilvl w:val="0"/>
                <w:numId w:val="9"/>
              </w:numPr>
              <w:rPr>
                <w:rFonts w:hint="eastAsia"/>
              </w:rPr>
            </w:pPr>
            <w:r>
              <w:rPr>
                <w:sz w:val="22"/>
                <w:szCs w:val="22"/>
              </w:rPr>
              <w:t>rozwiązuje trójkąty prostokątne</w:t>
            </w:r>
            <w:r>
              <w:rPr>
                <w:bCs/>
                <w:color w:val="000000"/>
                <w:sz w:val="22"/>
                <w:szCs w:val="22"/>
              </w:rPr>
              <w:t xml:space="preserve"> w </w:t>
            </w:r>
            <w:r>
              <w:rPr>
                <w:bCs/>
                <w:color w:val="000000"/>
                <w:sz w:val="22"/>
                <w:szCs w:val="22"/>
              </w:rPr>
              <w:t>prostych przypadkach</w:t>
            </w:r>
          </w:p>
        </w:tc>
      </w:tr>
      <w:tr w:rsidR="00F70715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F70715" w:rsidRDefault="00D243F4">
            <w:pPr>
              <w:pStyle w:val="Standard"/>
              <w:numPr>
                <w:ilvl w:val="0"/>
                <w:numId w:val="9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stosuje funkcje trygonometryczne do rozwiązywania prostych zadań praktycznych</w:t>
            </w:r>
          </w:p>
        </w:tc>
      </w:tr>
      <w:tr w:rsidR="00F70715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F70715" w:rsidRDefault="00D243F4">
            <w:pPr>
              <w:pStyle w:val="Akapitzlist"/>
              <w:numPr>
                <w:ilvl w:val="0"/>
                <w:numId w:val="9"/>
              </w:numPr>
              <w:rPr>
                <w:rFonts w:hint="eastAsia"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oblicza wartości funkcji trygonometrycznych kąta wypukłego, gdy dane są współrzędne punktu leżącego na jego końcowym ramieniu; przedstawia ten kąt na rysun</w:t>
            </w:r>
            <w:r>
              <w:rPr>
                <w:bCs/>
                <w:sz w:val="22"/>
                <w:szCs w:val="22"/>
              </w:rPr>
              <w:t>ku</w:t>
            </w:r>
          </w:p>
        </w:tc>
      </w:tr>
      <w:tr w:rsidR="00F70715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F70715" w:rsidRDefault="00D243F4">
            <w:pPr>
              <w:pStyle w:val="Akapitzlist"/>
              <w:numPr>
                <w:ilvl w:val="0"/>
                <w:numId w:val="9"/>
              </w:numPr>
              <w:rPr>
                <w:rFonts w:hint="eastAsia"/>
              </w:rPr>
            </w:pPr>
            <w:r>
              <w:rPr>
                <w:bCs/>
                <w:sz w:val="22"/>
                <w:szCs w:val="22"/>
              </w:rPr>
              <w:t>stosuje wzory</w:t>
            </w:r>
            <w:r>
              <w:rPr>
                <w:sz w:val="22"/>
                <w:szCs w:val="22"/>
              </w:rPr>
              <w:t xml:space="preserve">: </w:t>
            </w:r>
            <m:oMath>
              <m:r>
                <m:rPr>
                  <m:sty m:val="p"/>
                </m:rPr>
                <w:rPr>
                  <w:rFonts w:ascii="Cambria Math" w:hAnsi="Cambria Math"/>
                </w:rPr>
                <m:t>sin</m:t>
              </m:r>
              <m: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18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  <m:sup>
                  <m:r>
                    <w:rPr>
                      <w:rFonts w:ascii="Cambria Math" w:hAnsi="Cambria Math"/>
                    </w:rPr>
                    <m:t>o</m:t>
                  </m:r>
                </m:sup>
              </m:sSup>
              <m: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α</m:t>
              </m:r>
              <m:r>
                <w:rPr>
                  <w:rFonts w:ascii="Cambria Math" w:hAnsi="Cambria Math"/>
                </w:rPr>
                <m:t>)=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sin</m:t>
              </m:r>
              <m:r>
                <w:rPr>
                  <w:rFonts w:ascii="Cambria Math" w:hAnsi="Cambria Math"/>
                </w:rPr>
                <m:t>α</m:t>
              </m:r>
            </m:oMath>
            <w:r>
              <w:rPr>
                <w:sz w:val="22"/>
                <w:szCs w:val="22"/>
              </w:rPr>
              <w:t xml:space="preserve">, </w:t>
            </w:r>
            <m:oMath>
              <m:r>
                <m:rPr>
                  <m:sty m:val="p"/>
                </m:rPr>
                <w:rPr>
                  <w:rFonts w:ascii="Cambria Math" w:hAnsi="Cambria Math"/>
                </w:rPr>
                <m:t>cos</m:t>
              </m:r>
              <m:r>
                <w:rPr>
                  <w:rFonts w:ascii="Cambria Math" w:hAnsi="Cambria Math"/>
                </w:rPr>
                <m:t>(18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  <m:sup>
                  <m:r>
                    <w:rPr>
                      <w:rFonts w:ascii="Cambria Math" w:hAnsi="Cambria Math"/>
                    </w:rPr>
                    <m:t>o</m:t>
                  </m:r>
                </m:sup>
              </m:sSup>
              <m: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α</m:t>
              </m:r>
              <m:r>
                <w:rPr>
                  <w:rFonts w:ascii="Cambria Math" w:hAnsi="Cambria Math"/>
                </w:rPr>
                <m:t>)=-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cos</m:t>
              </m:r>
              <m:r>
                <w:rPr>
                  <w:rFonts w:ascii="Cambria Math" w:hAnsi="Cambria Math"/>
                </w:rPr>
                <m:t>α</m:t>
              </m:r>
            </m:oMath>
            <w:r>
              <w:rPr>
                <w:sz w:val="22"/>
                <w:szCs w:val="22"/>
              </w:rPr>
              <w:t xml:space="preserve">, </w:t>
            </w:r>
            <m:oMath>
              <m:r>
                <m:rPr>
                  <m:nor/>
                </m:rPr>
                <m:t>tg</m:t>
              </m:r>
              <m:r>
                <w:rPr>
                  <w:rFonts w:ascii="Cambria Math" w:hAnsi="Cambria Math"/>
                </w:rPr>
                <m:t>(18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  <m:sup>
                  <m:r>
                    <w:rPr>
                      <w:rFonts w:ascii="Cambria Math" w:hAnsi="Cambria Math"/>
                    </w:rPr>
                    <m:t>o</m:t>
                  </m:r>
                </m:sup>
              </m:sSup>
              <m: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α</m:t>
              </m:r>
              <m:r>
                <w:rPr>
                  <w:rFonts w:ascii="Cambria Math" w:hAnsi="Cambria Math"/>
                </w:rPr>
                <m:t>)=-</m:t>
              </m:r>
              <m:r>
                <m:rPr>
                  <m:nor/>
                </m:rPr>
                <m:t>tg</m:t>
              </m:r>
              <m:r>
                <w:rPr>
                  <w:rFonts w:ascii="Cambria Math" w:hAnsi="Cambria Math"/>
                </w:rPr>
                <m:t>α</m:t>
              </m:r>
            </m:oMath>
            <w:r>
              <w:rPr>
                <w:sz w:val="22"/>
                <w:szCs w:val="22"/>
              </w:rPr>
              <w:t xml:space="preserve"> do obliczania wartości wyrażenia</w:t>
            </w:r>
          </w:p>
        </w:tc>
      </w:tr>
      <w:tr w:rsidR="00F70715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F70715" w:rsidRDefault="00D243F4">
            <w:pPr>
              <w:pStyle w:val="Akapitzlist"/>
              <w:numPr>
                <w:ilvl w:val="0"/>
                <w:numId w:val="9"/>
              </w:numPr>
              <w:rPr>
                <w:rFonts w:hint="eastAsia"/>
              </w:rPr>
            </w:pPr>
            <w:r>
              <w:rPr>
                <w:bCs/>
                <w:sz w:val="22"/>
                <w:szCs w:val="22"/>
              </w:rPr>
              <w:t xml:space="preserve">oblicza wartości </w:t>
            </w:r>
            <w:r>
              <w:rPr>
                <w:sz w:val="22"/>
                <w:szCs w:val="22"/>
              </w:rPr>
              <w:t>funkcji trygonometrycznych kątów rozwartych, korzystając z tablic wartości funkcji trygonometrycznych</w:t>
            </w:r>
          </w:p>
        </w:tc>
      </w:tr>
      <w:tr w:rsidR="00F70715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F70715" w:rsidRDefault="00D243F4">
            <w:pPr>
              <w:pStyle w:val="Akapitzlist"/>
              <w:numPr>
                <w:ilvl w:val="0"/>
                <w:numId w:val="9"/>
              </w:numPr>
              <w:rPr>
                <w:rFonts w:hint="eastAsia"/>
              </w:rPr>
            </w:pPr>
            <w:r>
              <w:rPr>
                <w:sz w:val="22"/>
                <w:szCs w:val="22"/>
              </w:rPr>
              <w:t xml:space="preserve">stosuje w zadaniach wzór na pole trójkąta: </w:t>
            </w:r>
            <m:oMath>
              <m:r>
                <w:rPr>
                  <w:rFonts w:ascii="Cambria Math" w:hAnsi="Cambria Math"/>
                </w:rPr>
                <m:t>P</m:t>
              </m:r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  <m:r>
                <w:rPr>
                  <w:rFonts w:ascii="Cambria Math" w:hAnsi="Cambria Math"/>
                </w:rPr>
                <m:t>a</m:t>
              </m:r>
              <m:r>
                <w:rPr>
                  <w:rFonts w:ascii="Cambria Math" w:hAnsi="Cambria Math"/>
                </w:rPr>
                <m:t>h</m:t>
              </m:r>
            </m:oMath>
            <w:r>
              <w:rPr>
                <w:sz w:val="22"/>
                <w:szCs w:val="22"/>
              </w:rPr>
              <w:t xml:space="preserve"> oraz wzór na pole trójkąta </w:t>
            </w:r>
            <w:r>
              <w:rPr>
                <w:sz w:val="22"/>
                <w:szCs w:val="22"/>
              </w:rPr>
              <w:t xml:space="preserve">równobocznego o boku </w:t>
            </w:r>
            <w:r>
              <w:rPr>
                <w:i/>
                <w:iCs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 xml:space="preserve">: </w:t>
            </w:r>
            <m:oMath>
              <m:r>
                <w:rPr>
                  <w:rFonts w:ascii="Cambria Math" w:hAnsi="Cambria Math"/>
                </w:rPr>
                <m:t>P</m:t>
              </m:r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ad>
                    <m:radPr>
                      <m:degHide m:val="1"/>
                      <m:ctrlPr>
                        <w:rPr>
                          <w:rFonts w:ascii="Cambria Math" w:hAnsi="Cambria Math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</w:rPr>
                        <m:t>3</m:t>
                      </m:r>
                    </m:e>
                  </m:rad>
                </m:num>
                <m:den>
                  <m:r>
                    <w:rPr>
                      <w:rFonts w:ascii="Cambria Math" w:hAnsi="Cambria Math"/>
                    </w:rPr>
                    <m:t>4</m:t>
                  </m:r>
                </m:den>
              </m:f>
            </m:oMath>
          </w:p>
        </w:tc>
      </w:tr>
      <w:tr w:rsidR="00F70715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F70715" w:rsidRDefault="00D243F4">
            <w:pPr>
              <w:pStyle w:val="Standard"/>
              <w:numPr>
                <w:ilvl w:val="0"/>
                <w:numId w:val="9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rozróżnia czworokąty: kwadrat, prostokąt, romb, równoległobok, trapez oraz zna ich własności</w:t>
            </w:r>
          </w:p>
        </w:tc>
      </w:tr>
      <w:tr w:rsidR="00F70715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F70715" w:rsidRDefault="00D243F4">
            <w:pPr>
              <w:pStyle w:val="Standard"/>
              <w:numPr>
                <w:ilvl w:val="0"/>
                <w:numId w:val="9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oblicza pola czworokątów</w:t>
            </w:r>
          </w:p>
        </w:tc>
      </w:tr>
      <w:tr w:rsidR="00F70715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F70715" w:rsidRDefault="00D243F4">
            <w:pPr>
              <w:pStyle w:val="Standard"/>
              <w:numPr>
                <w:ilvl w:val="0"/>
                <w:numId w:val="9"/>
              </w:numPr>
              <w:rPr>
                <w:rFonts w:hint="eastAsia"/>
              </w:rPr>
            </w:pPr>
            <w:r>
              <w:rPr>
                <w:sz w:val="22"/>
                <w:szCs w:val="22"/>
              </w:rPr>
              <w:t xml:space="preserve">wykorzystuje funkcje trygonometryczne do obliczania obwodów i pól podstawowych figur płaskich </w:t>
            </w:r>
            <w:r>
              <w:rPr>
                <w:bCs/>
                <w:color w:val="000000"/>
                <w:sz w:val="22"/>
                <w:szCs w:val="22"/>
              </w:rPr>
              <w:t>w prostych przyp</w:t>
            </w:r>
            <w:r>
              <w:rPr>
                <w:bCs/>
                <w:color w:val="000000"/>
                <w:sz w:val="22"/>
                <w:szCs w:val="22"/>
              </w:rPr>
              <w:t>adkach</w:t>
            </w:r>
          </w:p>
        </w:tc>
      </w:tr>
    </w:tbl>
    <w:p w:rsidR="00F70715" w:rsidRDefault="00F70715">
      <w:pPr>
        <w:pStyle w:val="Standard"/>
        <w:jc w:val="both"/>
        <w:rPr>
          <w:rFonts w:hint="eastAsia"/>
          <w:sz w:val="22"/>
          <w:szCs w:val="22"/>
        </w:rPr>
      </w:pPr>
    </w:p>
    <w:p w:rsidR="00F70715" w:rsidRDefault="00D243F4">
      <w:pPr>
        <w:pStyle w:val="Standard"/>
        <w:jc w:val="both"/>
        <w:rPr>
          <w:rFonts w:hint="eastAsia"/>
        </w:rPr>
      </w:pPr>
      <w:r>
        <w:rPr>
          <w:sz w:val="22"/>
          <w:szCs w:val="22"/>
        </w:rPr>
        <w:t xml:space="preserve">Poziom </w:t>
      </w:r>
      <w:r>
        <w:rPr>
          <w:b/>
          <w:bCs/>
          <w:sz w:val="22"/>
          <w:szCs w:val="22"/>
        </w:rPr>
        <w:t>(R)</w:t>
      </w:r>
      <w:r>
        <w:rPr>
          <w:sz w:val="22"/>
          <w:szCs w:val="22"/>
        </w:rPr>
        <w:t xml:space="preserve"> lub </w:t>
      </w:r>
      <w:r>
        <w:rPr>
          <w:b/>
          <w:bCs/>
          <w:sz w:val="22"/>
          <w:szCs w:val="22"/>
        </w:rPr>
        <w:t>(D)</w:t>
      </w:r>
    </w:p>
    <w:p w:rsidR="00F70715" w:rsidRDefault="00D243F4">
      <w:pPr>
        <w:pStyle w:val="Standard"/>
        <w:jc w:val="both"/>
        <w:rPr>
          <w:rFonts w:hint="eastAsia"/>
        </w:rPr>
      </w:pPr>
      <w:r>
        <w:rPr>
          <w:sz w:val="22"/>
          <w:szCs w:val="22"/>
        </w:rPr>
        <w:t xml:space="preserve">Uczeń otrzymuje ocenę </w:t>
      </w:r>
      <w:r>
        <w:rPr>
          <w:b/>
          <w:bCs/>
          <w:sz w:val="22"/>
          <w:szCs w:val="22"/>
        </w:rPr>
        <w:t>dobrą</w:t>
      </w:r>
      <w:r>
        <w:rPr>
          <w:sz w:val="22"/>
          <w:szCs w:val="22"/>
        </w:rPr>
        <w:t xml:space="preserve"> lub </w:t>
      </w:r>
      <w:r>
        <w:rPr>
          <w:b/>
          <w:bCs/>
          <w:sz w:val="22"/>
          <w:szCs w:val="22"/>
        </w:rPr>
        <w:t>bardzo dobrą</w:t>
      </w:r>
      <w:r>
        <w:rPr>
          <w:sz w:val="22"/>
          <w:szCs w:val="22"/>
        </w:rPr>
        <w:t>, jeśli opanował poziomy (K) i (P) oraz dodatkowo:</w:t>
      </w:r>
    </w:p>
    <w:tbl>
      <w:tblPr>
        <w:tblW w:w="906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2"/>
      </w:tblGrid>
      <w:tr w:rsidR="00F70715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F70715" w:rsidRDefault="00D243F4">
            <w:pPr>
              <w:pStyle w:val="Standard"/>
              <w:numPr>
                <w:ilvl w:val="0"/>
                <w:numId w:val="9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wyznacza długości odcinków w trójkącie, korzystając z twierdzenia Pitagorasa</w:t>
            </w:r>
          </w:p>
        </w:tc>
      </w:tr>
      <w:tr w:rsidR="00F70715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F70715" w:rsidRDefault="00D243F4">
            <w:pPr>
              <w:pStyle w:val="Standard"/>
              <w:numPr>
                <w:ilvl w:val="0"/>
                <w:numId w:val="9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wyprowadza zależności ogólne, np. dotyczące długości pr</w:t>
            </w:r>
            <w:r>
              <w:rPr>
                <w:sz w:val="22"/>
                <w:szCs w:val="22"/>
              </w:rPr>
              <w:t>zekątnej kwadratu i wysokości trójkąta równobocznego</w:t>
            </w:r>
          </w:p>
        </w:tc>
      </w:tr>
      <w:tr w:rsidR="00F70715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F70715" w:rsidRDefault="00D243F4">
            <w:pPr>
              <w:pStyle w:val="Akapitzlist"/>
              <w:numPr>
                <w:ilvl w:val="0"/>
                <w:numId w:val="9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wyznacza wartości funkcji trygonometrycznych kątów ostrych w bardziej złożonych sytuacjach</w:t>
            </w:r>
          </w:p>
        </w:tc>
      </w:tr>
      <w:tr w:rsidR="00F70715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F70715" w:rsidRDefault="00D243F4">
            <w:pPr>
              <w:pStyle w:val="Akapitzlist"/>
              <w:numPr>
                <w:ilvl w:val="0"/>
                <w:numId w:val="9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uzasadnia proste zależności, korzystając z własności funkcji trygonometrycznych</w:t>
            </w:r>
          </w:p>
        </w:tc>
      </w:tr>
      <w:tr w:rsidR="00F70715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F70715" w:rsidRDefault="00D243F4">
            <w:pPr>
              <w:pStyle w:val="Akapitzlist"/>
              <w:numPr>
                <w:ilvl w:val="0"/>
                <w:numId w:val="9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stosuje funkcje </w:t>
            </w:r>
            <w:r>
              <w:rPr>
                <w:sz w:val="22"/>
                <w:szCs w:val="22"/>
              </w:rPr>
              <w:t>trygonometryczne do rozwiązywania trójkątów w zadaniach praktycznych</w:t>
            </w:r>
          </w:p>
        </w:tc>
      </w:tr>
      <w:tr w:rsidR="00F70715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F70715" w:rsidRDefault="00D243F4">
            <w:pPr>
              <w:pStyle w:val="Akapitzlist"/>
              <w:numPr>
                <w:ilvl w:val="0"/>
                <w:numId w:val="9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stosuje poznane związki do upraszczania wyrażeń zawierających funkcje trygonometryczne</w:t>
            </w:r>
          </w:p>
        </w:tc>
      </w:tr>
      <w:tr w:rsidR="00F70715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F70715" w:rsidRDefault="00D243F4">
            <w:pPr>
              <w:pStyle w:val="Akapitzlist"/>
              <w:numPr>
                <w:ilvl w:val="0"/>
                <w:numId w:val="9"/>
              </w:numPr>
              <w:rPr>
                <w:rFonts w:hint="eastAsia"/>
              </w:rPr>
            </w:pPr>
            <w:r>
              <w:rPr>
                <w:sz w:val="22"/>
                <w:szCs w:val="22"/>
              </w:rPr>
              <w:t xml:space="preserve">uzasadnia związki między funkcjami trygonometrycznymi kątów ostrych </w:t>
            </w:r>
            <m:oMath>
              <m:r>
                <w:rPr>
                  <w:rFonts w:ascii="Cambria Math" w:hAnsi="Cambria Math"/>
                </w:rPr>
                <m:t>α</m:t>
              </m:r>
            </m:oMath>
            <w:r>
              <w:rPr>
                <w:sz w:val="22"/>
                <w:szCs w:val="22"/>
              </w:rPr>
              <w:t xml:space="preserve"> i 9</w:t>
            </w:r>
            <m:oMath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  <m:sup>
                  <m:r>
                    <w:rPr>
                      <w:rFonts w:ascii="Cambria Math" w:hAnsi="Cambria Math"/>
                    </w:rPr>
                    <m:t>o</m:t>
                  </m:r>
                </m:sup>
              </m:sSup>
              <m: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α</m:t>
              </m:r>
            </m:oMath>
          </w:p>
        </w:tc>
      </w:tr>
      <w:tr w:rsidR="00F70715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F70715" w:rsidRDefault="00D243F4">
            <w:pPr>
              <w:pStyle w:val="Standard"/>
              <w:numPr>
                <w:ilvl w:val="0"/>
                <w:numId w:val="9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wyprowadza wzór na </w:t>
            </w:r>
            <w:r>
              <w:rPr>
                <w:sz w:val="22"/>
                <w:szCs w:val="22"/>
              </w:rPr>
              <w:t>jedynkę trygonometryczną oraz pozostałe związki między funkcjami trygonometrycznymi tego samego kąta</w:t>
            </w:r>
          </w:p>
        </w:tc>
      </w:tr>
      <w:tr w:rsidR="00F70715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F70715" w:rsidRDefault="00D243F4">
            <w:pPr>
              <w:pStyle w:val="Standard"/>
              <w:numPr>
                <w:ilvl w:val="0"/>
                <w:numId w:val="9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przekształca wyrażenia trygonometryczne, stosując związki między funkcjami trygonometrycznymi tego samego kąta</w:t>
            </w:r>
          </w:p>
        </w:tc>
      </w:tr>
      <w:tr w:rsidR="00F70715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F70715" w:rsidRDefault="00D243F4">
            <w:pPr>
              <w:pStyle w:val="Standard"/>
              <w:numPr>
                <w:ilvl w:val="0"/>
                <w:numId w:val="9"/>
              </w:numPr>
              <w:rPr>
                <w:rFonts w:hint="eastAsia"/>
              </w:rPr>
            </w:pPr>
            <w:r>
              <w:rPr>
                <w:sz w:val="22"/>
                <w:szCs w:val="22"/>
              </w:rPr>
              <w:t>oblicza wartości pozostałych funkcji trygo</w:t>
            </w:r>
            <w:r>
              <w:rPr>
                <w:sz w:val="22"/>
                <w:szCs w:val="22"/>
              </w:rPr>
              <w:t xml:space="preserve">nometrycznych, gdy dany jest tangens kąta; </w:t>
            </w:r>
            <w:r>
              <w:rPr>
                <w:bCs/>
                <w:sz w:val="22"/>
                <w:szCs w:val="22"/>
              </w:rPr>
              <w:t>znając wartość tangensa kąta wypukłego, rysuje ten kąt w układzie współrzędnych</w:t>
            </w:r>
          </w:p>
        </w:tc>
      </w:tr>
      <w:tr w:rsidR="00F70715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F70715" w:rsidRDefault="00D243F4">
            <w:pPr>
              <w:pStyle w:val="Standard"/>
              <w:numPr>
                <w:ilvl w:val="0"/>
                <w:numId w:val="9"/>
              </w:numPr>
              <w:rPr>
                <w:rFonts w:hint="eastAsia"/>
              </w:rPr>
            </w:pPr>
            <w:r>
              <w:rPr>
                <w:sz w:val="22"/>
                <w:szCs w:val="22"/>
              </w:rPr>
              <w:t>stosuje w zadaniach o podwyższonym stopniu trudności wzór na pole trójkąta:</w:t>
            </w:r>
            <w:r>
              <w:rPr>
                <w:sz w:val="22"/>
                <w:szCs w:val="22"/>
              </w:rPr>
              <w:br/>
            </w: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P</m:t>
                </m:r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</w:rPr>
                  <m:t>ab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sin</m:t>
                </m:r>
                <m:r>
                  <w:rPr>
                    <w:rFonts w:ascii="Cambria Math" w:hAnsi="Cambria Math"/>
                  </w:rPr>
                  <m:t>γ</m:t>
                </m:r>
              </m:oMath>
            </m:oMathPara>
          </w:p>
        </w:tc>
      </w:tr>
      <w:tr w:rsidR="00F70715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F70715" w:rsidRDefault="00D243F4">
            <w:pPr>
              <w:pStyle w:val="Standard"/>
              <w:numPr>
                <w:ilvl w:val="0"/>
                <w:numId w:val="9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stosuje wzór Herona do obliczania pola trójkąta</w:t>
            </w:r>
          </w:p>
        </w:tc>
      </w:tr>
      <w:tr w:rsidR="00F70715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F70715" w:rsidRDefault="00D243F4">
            <w:pPr>
              <w:pStyle w:val="Standard"/>
              <w:numPr>
                <w:ilvl w:val="0"/>
                <w:numId w:val="9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obli</w:t>
            </w:r>
            <w:r>
              <w:rPr>
                <w:sz w:val="22"/>
                <w:szCs w:val="22"/>
              </w:rPr>
              <w:t>cza pola czworokątów w trudniejszych przypadkach</w:t>
            </w:r>
          </w:p>
        </w:tc>
      </w:tr>
      <w:tr w:rsidR="00F70715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F70715" w:rsidRDefault="00D243F4">
            <w:pPr>
              <w:pStyle w:val="Akapitzlist"/>
              <w:numPr>
                <w:ilvl w:val="0"/>
                <w:numId w:val="9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wykorzystuje umiejętność wyznaczania pól trójkątów do obliczania pól innych wielokątów</w:t>
            </w:r>
          </w:p>
        </w:tc>
      </w:tr>
      <w:tr w:rsidR="00F70715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F70715" w:rsidRDefault="00D243F4">
            <w:pPr>
              <w:pStyle w:val="Akapitzlist"/>
              <w:numPr>
                <w:ilvl w:val="0"/>
                <w:numId w:val="9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uzasadnia związki miarowe w czworokątach</w:t>
            </w:r>
          </w:p>
        </w:tc>
      </w:tr>
      <w:tr w:rsidR="00F70715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F70715" w:rsidRDefault="00D243F4">
            <w:pPr>
              <w:pStyle w:val="Akapitzlist"/>
              <w:numPr>
                <w:ilvl w:val="0"/>
                <w:numId w:val="9"/>
              </w:numPr>
              <w:rPr>
                <w:rFonts w:hint="eastAsia"/>
              </w:rPr>
            </w:pPr>
            <w:r>
              <w:rPr>
                <w:sz w:val="22"/>
                <w:szCs w:val="22"/>
              </w:rPr>
              <w:t xml:space="preserve">dowodzi prawdziwości wzoru </w:t>
            </w:r>
            <m:oMath>
              <m:r>
                <w:rPr>
                  <w:rFonts w:ascii="Cambria Math" w:hAnsi="Cambria Math"/>
                </w:rPr>
                <m:t>P</m:t>
              </m:r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  <m:r>
                <w:rPr>
                  <w:rFonts w:ascii="Cambria Math" w:hAnsi="Cambria Math"/>
                </w:rPr>
                <m:t>ab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sin</m:t>
              </m:r>
              <m:r>
                <w:rPr>
                  <w:rFonts w:ascii="Cambria Math" w:hAnsi="Cambria Math"/>
                </w:rPr>
                <m:t>γ</m:t>
              </m:r>
            </m:oMath>
          </w:p>
        </w:tc>
      </w:tr>
    </w:tbl>
    <w:p w:rsidR="00F70715" w:rsidRDefault="00F70715">
      <w:pPr>
        <w:pStyle w:val="Standard"/>
        <w:jc w:val="both"/>
        <w:rPr>
          <w:rFonts w:hint="eastAsia"/>
          <w:sz w:val="22"/>
          <w:szCs w:val="22"/>
        </w:rPr>
      </w:pPr>
    </w:p>
    <w:p w:rsidR="00F70715" w:rsidRDefault="00D243F4">
      <w:pPr>
        <w:pStyle w:val="Standard"/>
        <w:jc w:val="both"/>
        <w:rPr>
          <w:rFonts w:hint="eastAsia"/>
        </w:rPr>
      </w:pPr>
      <w:r>
        <w:rPr>
          <w:sz w:val="22"/>
          <w:szCs w:val="22"/>
        </w:rPr>
        <w:t>Poziom</w:t>
      </w:r>
      <w:r>
        <w:rPr>
          <w:b/>
          <w:bCs/>
          <w:sz w:val="22"/>
          <w:szCs w:val="22"/>
        </w:rPr>
        <w:t xml:space="preserve"> (W)</w:t>
      </w:r>
    </w:p>
    <w:p w:rsidR="00F70715" w:rsidRDefault="00D243F4">
      <w:pPr>
        <w:pStyle w:val="Textbody"/>
        <w:rPr>
          <w:rFonts w:hint="eastAsia"/>
        </w:rPr>
      </w:pPr>
      <w:r>
        <w:rPr>
          <w:sz w:val="22"/>
          <w:szCs w:val="22"/>
        </w:rPr>
        <w:t xml:space="preserve">Uczeń otrzymuje ocenę </w:t>
      </w:r>
      <w:r>
        <w:rPr>
          <w:b/>
          <w:bCs/>
          <w:sz w:val="22"/>
          <w:szCs w:val="22"/>
        </w:rPr>
        <w:t>celującą</w:t>
      </w:r>
      <w:r>
        <w:rPr>
          <w:sz w:val="22"/>
          <w:szCs w:val="22"/>
        </w:rPr>
        <w:t>, jeśli opanował wiedzę i umiejętności z poziomów (K)–(D) oraz:</w:t>
      </w:r>
    </w:p>
    <w:tbl>
      <w:tblPr>
        <w:tblW w:w="906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2"/>
      </w:tblGrid>
      <w:tr w:rsidR="00F70715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F70715" w:rsidRDefault="00D243F4">
            <w:pPr>
              <w:pStyle w:val="Standard"/>
              <w:numPr>
                <w:ilvl w:val="0"/>
                <w:numId w:val="9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przeprowadza dowód twierdzenia Pitagorasa i twierdzenia odwrotnego do twierdzenia Pitagorasa</w:t>
            </w:r>
          </w:p>
        </w:tc>
      </w:tr>
      <w:tr w:rsidR="00F70715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F70715" w:rsidRDefault="00D243F4">
            <w:pPr>
              <w:pStyle w:val="Standard"/>
              <w:numPr>
                <w:ilvl w:val="0"/>
                <w:numId w:val="9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rozwiązuje zadania o znacznym stopniu trudności z zastosowaniem</w:t>
            </w:r>
            <w:r>
              <w:rPr>
                <w:sz w:val="22"/>
                <w:szCs w:val="22"/>
              </w:rPr>
              <w:t xml:space="preserve"> trygonometrii, w tym zadania na dowodzenie związków miarowych w trójkątach i czworokątach</w:t>
            </w:r>
          </w:p>
        </w:tc>
      </w:tr>
    </w:tbl>
    <w:p w:rsidR="00F70715" w:rsidRDefault="00F70715">
      <w:pPr>
        <w:pStyle w:val="Standard"/>
        <w:jc w:val="both"/>
        <w:rPr>
          <w:rFonts w:hint="eastAsia"/>
          <w:b/>
          <w:bCs/>
          <w:sz w:val="22"/>
          <w:szCs w:val="22"/>
        </w:rPr>
      </w:pPr>
    </w:p>
    <w:p w:rsidR="00F70715" w:rsidRDefault="00D243F4">
      <w:pPr>
        <w:pStyle w:val="Nagwek1"/>
        <w:rPr>
          <w:rFonts w:hint="eastAsia"/>
        </w:rPr>
      </w:pPr>
      <w:r>
        <w:rPr>
          <w:rFonts w:ascii="Times New Roman" w:hAnsi="Times New Roman"/>
          <w:sz w:val="22"/>
          <w:szCs w:val="22"/>
        </w:rPr>
        <w:t>12. PLANIMETRIA</w:t>
      </w:r>
    </w:p>
    <w:p w:rsidR="00F70715" w:rsidRDefault="00D243F4">
      <w:pPr>
        <w:pStyle w:val="Standard"/>
        <w:jc w:val="both"/>
        <w:rPr>
          <w:rFonts w:hint="eastAsia"/>
        </w:rPr>
      </w:pPr>
      <w:r>
        <w:rPr>
          <w:sz w:val="22"/>
          <w:szCs w:val="22"/>
        </w:rPr>
        <w:t xml:space="preserve">Poziom </w:t>
      </w:r>
      <w:r>
        <w:rPr>
          <w:b/>
          <w:bCs/>
          <w:sz w:val="22"/>
          <w:szCs w:val="22"/>
        </w:rPr>
        <w:t xml:space="preserve">(K) </w:t>
      </w:r>
      <w:r>
        <w:rPr>
          <w:sz w:val="22"/>
          <w:szCs w:val="22"/>
        </w:rPr>
        <w:t>lub</w:t>
      </w:r>
      <w:r>
        <w:rPr>
          <w:b/>
          <w:bCs/>
          <w:sz w:val="22"/>
          <w:szCs w:val="22"/>
        </w:rPr>
        <w:t xml:space="preserve"> (P)</w:t>
      </w:r>
    </w:p>
    <w:p w:rsidR="00F70715" w:rsidRDefault="00D243F4">
      <w:pPr>
        <w:pStyle w:val="Standard"/>
        <w:jc w:val="both"/>
        <w:rPr>
          <w:rFonts w:hint="eastAsia"/>
        </w:rPr>
      </w:pPr>
      <w:r>
        <w:rPr>
          <w:sz w:val="22"/>
          <w:szCs w:val="22"/>
        </w:rPr>
        <w:t xml:space="preserve">Uczeń otrzymuje ocenę </w:t>
      </w:r>
      <w:r>
        <w:rPr>
          <w:b/>
          <w:bCs/>
          <w:sz w:val="22"/>
          <w:szCs w:val="22"/>
        </w:rPr>
        <w:t xml:space="preserve">dopuszczającą </w:t>
      </w:r>
      <w:r>
        <w:rPr>
          <w:sz w:val="22"/>
          <w:szCs w:val="22"/>
        </w:rPr>
        <w:t xml:space="preserve">lub </w:t>
      </w:r>
      <w:r>
        <w:rPr>
          <w:b/>
          <w:bCs/>
          <w:sz w:val="22"/>
          <w:szCs w:val="22"/>
        </w:rPr>
        <w:t>dostateczną</w:t>
      </w:r>
      <w:r>
        <w:rPr>
          <w:sz w:val="22"/>
          <w:szCs w:val="22"/>
        </w:rPr>
        <w:t>, jeśli:</w:t>
      </w:r>
    </w:p>
    <w:tbl>
      <w:tblPr>
        <w:tblW w:w="906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2"/>
      </w:tblGrid>
      <w:tr w:rsidR="00F70715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F70715" w:rsidRDefault="00D243F4">
            <w:pPr>
              <w:pStyle w:val="Standard"/>
              <w:numPr>
                <w:ilvl w:val="0"/>
                <w:numId w:val="9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rozpoznaje kąty środkowe w okręgu</w:t>
            </w:r>
          </w:p>
        </w:tc>
      </w:tr>
      <w:tr w:rsidR="00F70715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F70715" w:rsidRDefault="00D243F4">
            <w:pPr>
              <w:pStyle w:val="Standard"/>
              <w:numPr>
                <w:ilvl w:val="0"/>
                <w:numId w:val="9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oblicza długość okręgu i długość </w:t>
            </w:r>
            <w:r>
              <w:rPr>
                <w:sz w:val="22"/>
                <w:szCs w:val="22"/>
              </w:rPr>
              <w:t>łuku okręgu w prostych przypadkach</w:t>
            </w:r>
          </w:p>
        </w:tc>
      </w:tr>
      <w:tr w:rsidR="00F70715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F70715" w:rsidRDefault="00D243F4">
            <w:pPr>
              <w:pStyle w:val="Standard"/>
              <w:numPr>
                <w:ilvl w:val="0"/>
                <w:numId w:val="9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oblicza pole koła i pole wycinka koła</w:t>
            </w:r>
          </w:p>
        </w:tc>
      </w:tr>
      <w:tr w:rsidR="00F70715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F70715" w:rsidRDefault="00D243F4">
            <w:pPr>
              <w:pStyle w:val="Standard"/>
              <w:numPr>
                <w:ilvl w:val="0"/>
                <w:numId w:val="9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oblicza pole figury, stosując wzór na pole koła, i pole wycinka koła w prostych sytuacjach</w:t>
            </w:r>
          </w:p>
        </w:tc>
      </w:tr>
      <w:tr w:rsidR="00F70715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F70715" w:rsidRDefault="00D243F4">
            <w:pPr>
              <w:pStyle w:val="Akapitzlist"/>
              <w:numPr>
                <w:ilvl w:val="0"/>
                <w:numId w:val="9"/>
              </w:numPr>
              <w:rPr>
                <w:rFonts w:hint="eastAsia"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rozpoznaje kąty wpisane w okrąg oraz wskazuje łuki, na których są one oparte</w:t>
            </w:r>
          </w:p>
        </w:tc>
      </w:tr>
      <w:tr w:rsidR="00F70715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F70715" w:rsidRDefault="00D243F4">
            <w:pPr>
              <w:pStyle w:val="Standard"/>
              <w:numPr>
                <w:ilvl w:val="0"/>
                <w:numId w:val="9"/>
              </w:numPr>
              <w:rPr>
                <w:rFonts w:hint="eastAsia"/>
              </w:rPr>
            </w:pPr>
            <w:r>
              <w:rPr>
                <w:bCs/>
                <w:sz w:val="22"/>
                <w:szCs w:val="22"/>
              </w:rPr>
              <w:t>stosuje twi</w:t>
            </w:r>
            <w:r>
              <w:rPr>
                <w:bCs/>
                <w:sz w:val="22"/>
                <w:szCs w:val="22"/>
              </w:rPr>
              <w:t xml:space="preserve">erdzenie o kącie środkowym i wpisanym, opartych na tym samym łuku oraz wnioski z tego twierdzenia </w:t>
            </w:r>
            <w:r>
              <w:rPr>
                <w:bCs/>
                <w:color w:val="000000"/>
                <w:sz w:val="22"/>
                <w:szCs w:val="22"/>
              </w:rPr>
              <w:t>w prostych przypadkach</w:t>
            </w:r>
          </w:p>
        </w:tc>
      </w:tr>
      <w:tr w:rsidR="00F70715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F70715" w:rsidRDefault="00D243F4">
            <w:pPr>
              <w:pStyle w:val="Akapitzlist"/>
              <w:numPr>
                <w:ilvl w:val="0"/>
                <w:numId w:val="9"/>
              </w:numPr>
              <w:rPr>
                <w:rFonts w:hint="eastAsia"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rozwiązuje zadania dotyczące okręgu opisanego na trójkącie równobocznym lub prostokątnym</w:t>
            </w:r>
          </w:p>
        </w:tc>
      </w:tr>
      <w:tr w:rsidR="00F70715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F70715" w:rsidRDefault="00D243F4">
            <w:pPr>
              <w:pStyle w:val="Akapitzlist"/>
              <w:numPr>
                <w:ilvl w:val="0"/>
                <w:numId w:val="9"/>
              </w:numPr>
              <w:rPr>
                <w:rFonts w:hint="eastAsia"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rozwiązuje zadania dotyczące okręgu </w:t>
            </w:r>
            <w:r>
              <w:rPr>
                <w:bCs/>
                <w:sz w:val="22"/>
                <w:szCs w:val="22"/>
              </w:rPr>
              <w:t>opisanego na dowolnym trójkącie w zadaniach z planimetrii w prostych przypadkach</w:t>
            </w:r>
          </w:p>
        </w:tc>
      </w:tr>
      <w:tr w:rsidR="00F70715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F70715" w:rsidRDefault="00D243F4">
            <w:pPr>
              <w:pStyle w:val="Akapitzlist"/>
              <w:numPr>
                <w:ilvl w:val="0"/>
                <w:numId w:val="9"/>
              </w:numPr>
              <w:rPr>
                <w:rFonts w:hint="eastAsia"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rozwiązuje zadania dotyczące okręgu wpisanego w trójkąt równoboczny lub prostokątny</w:t>
            </w:r>
          </w:p>
        </w:tc>
      </w:tr>
      <w:tr w:rsidR="00F70715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F70715" w:rsidRDefault="00D243F4">
            <w:pPr>
              <w:pStyle w:val="Akapitzlist"/>
              <w:numPr>
                <w:ilvl w:val="0"/>
                <w:numId w:val="9"/>
              </w:numPr>
              <w:rPr>
                <w:rFonts w:hint="eastAsia"/>
              </w:rPr>
            </w:pPr>
            <w:r>
              <w:rPr>
                <w:bCs/>
                <w:sz w:val="22"/>
                <w:szCs w:val="22"/>
              </w:rPr>
              <w:t xml:space="preserve">rozwiązuje zadania dotyczące okręgu wpisanego w dowolny trójkąt </w:t>
            </w:r>
            <w:r>
              <w:rPr>
                <w:bCs/>
                <w:color w:val="000000"/>
                <w:sz w:val="22"/>
                <w:szCs w:val="22"/>
              </w:rPr>
              <w:t>w prostych przypadkach</w:t>
            </w:r>
          </w:p>
        </w:tc>
      </w:tr>
      <w:tr w:rsidR="00F70715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F70715" w:rsidRDefault="00D243F4">
            <w:pPr>
              <w:pStyle w:val="Standard"/>
              <w:numPr>
                <w:ilvl w:val="0"/>
                <w:numId w:val="9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opisuje własności wielokątów foremnych</w:t>
            </w:r>
          </w:p>
        </w:tc>
      </w:tr>
      <w:tr w:rsidR="00F70715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F70715" w:rsidRDefault="00D243F4">
            <w:pPr>
              <w:pStyle w:val="Standard"/>
              <w:numPr>
                <w:ilvl w:val="0"/>
                <w:numId w:val="9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oblicza miarę kąta wewnętrznego danego wielokąta foremnego</w:t>
            </w:r>
          </w:p>
        </w:tc>
      </w:tr>
      <w:tr w:rsidR="00F70715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F70715" w:rsidRDefault="00D243F4">
            <w:pPr>
              <w:pStyle w:val="Standard"/>
              <w:numPr>
                <w:ilvl w:val="0"/>
                <w:numId w:val="9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wyznacza liczbę boków wielokąta foremnego, znając sumę miar jego kątów wewnętrznych</w:t>
            </w:r>
          </w:p>
        </w:tc>
      </w:tr>
      <w:tr w:rsidR="00F70715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F70715" w:rsidRDefault="00D243F4">
            <w:pPr>
              <w:pStyle w:val="Standard"/>
              <w:numPr>
                <w:ilvl w:val="0"/>
                <w:numId w:val="9"/>
              </w:numPr>
              <w:rPr>
                <w:rFonts w:hint="eastAsia"/>
              </w:rPr>
            </w:pPr>
            <w:r>
              <w:rPr>
                <w:sz w:val="22"/>
                <w:szCs w:val="22"/>
              </w:rPr>
              <w:t>oblicza promień okręgu opisanego na wielokącie foremnym i wpisanego w </w:t>
            </w:r>
            <w:r>
              <w:rPr>
                <w:sz w:val="22"/>
                <w:szCs w:val="22"/>
              </w:rPr>
              <w:t xml:space="preserve">wielokąt foremnym </w:t>
            </w:r>
            <w:r>
              <w:rPr>
                <w:bCs/>
                <w:color w:val="000000"/>
                <w:sz w:val="22"/>
                <w:szCs w:val="22"/>
              </w:rPr>
              <w:t>w prostych przypadkach</w:t>
            </w:r>
          </w:p>
        </w:tc>
      </w:tr>
      <w:tr w:rsidR="00F70715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F70715" w:rsidRDefault="00D243F4">
            <w:pPr>
              <w:pStyle w:val="Standard"/>
              <w:numPr>
                <w:ilvl w:val="0"/>
                <w:numId w:val="9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stosuje twierdzenie cosinusów do rozwiązywania trójkątów w prostych przypadkach, także osadzonych w kontekście praktycznym</w:t>
            </w:r>
          </w:p>
        </w:tc>
      </w:tr>
      <w:tr w:rsidR="00F70715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F70715" w:rsidRDefault="00D243F4">
            <w:pPr>
              <w:pStyle w:val="Standard"/>
              <w:numPr>
                <w:ilvl w:val="0"/>
                <w:numId w:val="9"/>
              </w:numPr>
              <w:rPr>
                <w:rFonts w:hint="eastAsia"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wskazuje najmniejszy (największy) kąt w trójkącie, znając długości boków trójkąta</w:t>
            </w:r>
          </w:p>
        </w:tc>
      </w:tr>
    </w:tbl>
    <w:p w:rsidR="00F70715" w:rsidRDefault="00F70715">
      <w:pPr>
        <w:pStyle w:val="Standard"/>
        <w:jc w:val="both"/>
        <w:rPr>
          <w:rFonts w:hint="eastAsia"/>
          <w:sz w:val="22"/>
          <w:szCs w:val="22"/>
        </w:rPr>
      </w:pPr>
    </w:p>
    <w:p w:rsidR="00F70715" w:rsidRDefault="00D243F4">
      <w:pPr>
        <w:pStyle w:val="Standard"/>
        <w:jc w:val="both"/>
        <w:rPr>
          <w:rFonts w:hint="eastAsia"/>
        </w:rPr>
      </w:pPr>
      <w:r>
        <w:rPr>
          <w:sz w:val="22"/>
          <w:szCs w:val="22"/>
        </w:rPr>
        <w:t>Poziom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(R)</w:t>
      </w:r>
      <w:r>
        <w:rPr>
          <w:sz w:val="22"/>
          <w:szCs w:val="22"/>
        </w:rPr>
        <w:t xml:space="preserve"> lub </w:t>
      </w:r>
      <w:r>
        <w:rPr>
          <w:b/>
          <w:bCs/>
          <w:sz w:val="22"/>
          <w:szCs w:val="22"/>
        </w:rPr>
        <w:t>(D)</w:t>
      </w:r>
    </w:p>
    <w:p w:rsidR="00F70715" w:rsidRDefault="00D243F4">
      <w:pPr>
        <w:pStyle w:val="Standard"/>
        <w:jc w:val="both"/>
        <w:rPr>
          <w:rFonts w:hint="eastAsia"/>
        </w:rPr>
      </w:pPr>
      <w:r>
        <w:rPr>
          <w:sz w:val="22"/>
          <w:szCs w:val="22"/>
        </w:rPr>
        <w:t xml:space="preserve">Uczeń otrzymuje ocenę </w:t>
      </w:r>
      <w:r>
        <w:rPr>
          <w:b/>
          <w:bCs/>
          <w:sz w:val="22"/>
          <w:szCs w:val="22"/>
        </w:rPr>
        <w:t>dobrą</w:t>
      </w:r>
      <w:r>
        <w:rPr>
          <w:sz w:val="22"/>
          <w:szCs w:val="22"/>
        </w:rPr>
        <w:t xml:space="preserve"> lub </w:t>
      </w:r>
      <w:r>
        <w:rPr>
          <w:b/>
          <w:bCs/>
          <w:sz w:val="22"/>
          <w:szCs w:val="22"/>
        </w:rPr>
        <w:t>bardzo dobrą</w:t>
      </w:r>
      <w:r>
        <w:rPr>
          <w:sz w:val="22"/>
          <w:szCs w:val="22"/>
        </w:rPr>
        <w:t>, jeśli opanował poziomy (K) i (P) oraz dodatkowo:</w:t>
      </w:r>
    </w:p>
    <w:tbl>
      <w:tblPr>
        <w:tblW w:w="906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2"/>
      </w:tblGrid>
      <w:tr w:rsidR="00F70715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F70715" w:rsidRDefault="00D243F4">
            <w:pPr>
              <w:pStyle w:val="Standard"/>
              <w:numPr>
                <w:ilvl w:val="0"/>
                <w:numId w:val="9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oblicza pole figury, stosując wzory na pole koła i pole wycinka kołowego</w:t>
            </w:r>
          </w:p>
        </w:tc>
      </w:tr>
      <w:tr w:rsidR="00F70715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F70715" w:rsidRDefault="00D243F4">
            <w:pPr>
              <w:pStyle w:val="Standard"/>
              <w:numPr>
                <w:ilvl w:val="0"/>
                <w:numId w:val="9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wykorzystuje twierdzenie o odcinkach stycznych do rozwiązywania zadań</w:t>
            </w:r>
          </w:p>
        </w:tc>
      </w:tr>
      <w:tr w:rsidR="00F70715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F70715" w:rsidRDefault="00D243F4">
            <w:pPr>
              <w:pStyle w:val="Standard"/>
              <w:numPr>
                <w:ilvl w:val="0"/>
                <w:numId w:val="9"/>
              </w:numPr>
              <w:rPr>
                <w:rFonts w:hint="eastAsia"/>
              </w:rPr>
            </w:pPr>
            <w:r>
              <w:rPr>
                <w:bCs/>
                <w:sz w:val="22"/>
                <w:szCs w:val="22"/>
              </w:rPr>
              <w:t>sto</w:t>
            </w:r>
            <w:r>
              <w:rPr>
                <w:bCs/>
                <w:sz w:val="22"/>
                <w:szCs w:val="22"/>
              </w:rPr>
              <w:t>suje twierdzenie o kątach środkowym i wpisanym, opartych na tym samym łuku oraz wnioski z tego twierdzenia</w:t>
            </w:r>
            <w:r>
              <w:rPr>
                <w:sz w:val="22"/>
                <w:szCs w:val="22"/>
              </w:rPr>
              <w:t xml:space="preserve"> w trudniejszych przypadkach</w:t>
            </w:r>
          </w:p>
        </w:tc>
      </w:tr>
      <w:tr w:rsidR="00F70715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F70715" w:rsidRDefault="00D243F4">
            <w:pPr>
              <w:pStyle w:val="Standard"/>
              <w:numPr>
                <w:ilvl w:val="0"/>
                <w:numId w:val="9"/>
              </w:numPr>
              <w:rPr>
                <w:rFonts w:hint="eastAsia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stosuje twierdzenie o kącie między styczną a cięciwą okręgu do rozwiązywania zadań </w:t>
            </w:r>
            <w:r>
              <w:rPr>
                <w:color w:val="000000"/>
                <w:sz w:val="22"/>
                <w:szCs w:val="22"/>
              </w:rPr>
              <w:t>w trudniejszych przypadkach</w:t>
            </w:r>
          </w:p>
        </w:tc>
      </w:tr>
      <w:tr w:rsidR="00F70715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F70715" w:rsidRDefault="00D243F4">
            <w:pPr>
              <w:pStyle w:val="Standard"/>
              <w:numPr>
                <w:ilvl w:val="0"/>
                <w:numId w:val="9"/>
              </w:numPr>
              <w:rPr>
                <w:rFonts w:hint="eastAsia"/>
              </w:rPr>
            </w:pPr>
            <w:r>
              <w:rPr>
                <w:sz w:val="22"/>
                <w:szCs w:val="22"/>
              </w:rPr>
              <w:t xml:space="preserve">stosuje </w:t>
            </w:r>
            <w:r>
              <w:rPr>
                <w:sz w:val="22"/>
                <w:szCs w:val="22"/>
              </w:rPr>
              <w:t xml:space="preserve">wzory </w:t>
            </w:r>
            <m:oMath>
              <m:r>
                <w:rPr>
                  <w:rFonts w:ascii="Cambria Math" w:hAnsi="Cambria Math"/>
                </w:rPr>
                <m:t>P</m:t>
              </m:r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abc</m:t>
                  </m:r>
                </m:num>
                <m:den>
                  <m:r>
                    <w:rPr>
                      <w:rFonts w:ascii="Cambria Math" w:hAnsi="Cambria Math"/>
                    </w:rPr>
                    <m:t>4</m:t>
                  </m:r>
                  <m:r>
                    <w:rPr>
                      <w:rFonts w:ascii="Cambria Math" w:hAnsi="Cambria Math"/>
                    </w:rPr>
                    <m:t>R</m:t>
                  </m:r>
                </m:den>
              </m:f>
            </m:oMath>
            <w:r>
              <w:rPr>
                <w:bCs/>
                <w:sz w:val="22"/>
                <w:szCs w:val="22"/>
              </w:rPr>
              <w:t xml:space="preserve"> i </w:t>
            </w:r>
            <m:oMath>
              <m:r>
                <w:rPr>
                  <w:rFonts w:ascii="Cambria Math" w:hAnsi="Cambria Math"/>
                </w:rPr>
                <m:t>P</m:t>
              </m:r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a</m:t>
                  </m:r>
                  <m:r>
                    <w:rPr>
                      <w:rFonts w:ascii="Cambria Math" w:hAnsi="Cambria Math"/>
                    </w:rPr>
                    <m:t>+</m:t>
                  </m:r>
                  <m:r>
                    <w:rPr>
                      <w:rFonts w:ascii="Cambria Math" w:hAnsi="Cambria Math"/>
                    </w:rPr>
                    <m:t>b</m:t>
                  </m:r>
                  <m:r>
                    <w:rPr>
                      <w:rFonts w:ascii="Cambria Math" w:hAnsi="Cambria Math"/>
                    </w:rPr>
                    <m:t>+</m:t>
                  </m:r>
                  <m:r>
                    <w:rPr>
                      <w:rFonts w:ascii="Cambria Math" w:hAnsi="Cambria Math"/>
                    </w:rPr>
                    <m:t>c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  <m:r>
                <w:rPr>
                  <w:rFonts w:ascii="Cambria Math" w:hAnsi="Cambria Math"/>
                </w:rPr>
                <m:t>⋅</m:t>
              </m:r>
              <m:r>
                <w:rPr>
                  <w:rFonts w:ascii="Cambria Math" w:hAnsi="Cambria Math"/>
                </w:rPr>
                <m:t>r</m:t>
              </m:r>
            </m:oMath>
            <w:r>
              <w:rPr>
                <w:sz w:val="22"/>
                <w:szCs w:val="22"/>
              </w:rPr>
              <w:t xml:space="preserve"> do obliczania pola trójkąta</w:t>
            </w:r>
          </w:p>
        </w:tc>
      </w:tr>
      <w:tr w:rsidR="00F70715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F70715" w:rsidRDefault="00D243F4">
            <w:pPr>
              <w:pStyle w:val="Standard"/>
              <w:numPr>
                <w:ilvl w:val="0"/>
                <w:numId w:val="9"/>
              </w:numPr>
              <w:rPr>
                <w:rFonts w:hint="eastAsia"/>
              </w:rPr>
            </w:pPr>
            <w:r>
              <w:rPr>
                <w:sz w:val="22"/>
                <w:szCs w:val="22"/>
              </w:rPr>
              <w:t xml:space="preserve">uzasadnia wzory </w:t>
            </w:r>
            <m:oMath>
              <m:r>
                <w:rPr>
                  <w:rFonts w:ascii="Cambria Math" w:hAnsi="Cambria Math"/>
                </w:rPr>
                <m:t>P</m:t>
              </m:r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abc</m:t>
                  </m:r>
                </m:num>
                <m:den>
                  <m:r>
                    <w:rPr>
                      <w:rFonts w:ascii="Cambria Math" w:hAnsi="Cambria Math"/>
                    </w:rPr>
                    <m:t>4</m:t>
                  </m:r>
                  <m:r>
                    <w:rPr>
                      <w:rFonts w:ascii="Cambria Math" w:hAnsi="Cambria Math"/>
                    </w:rPr>
                    <m:t>R</m:t>
                  </m:r>
                </m:den>
              </m:f>
            </m:oMath>
            <w:r>
              <w:rPr>
                <w:bCs/>
                <w:sz w:val="22"/>
                <w:szCs w:val="22"/>
              </w:rPr>
              <w:t xml:space="preserve"> i </w:t>
            </w:r>
            <m:oMath>
              <m:r>
                <w:rPr>
                  <w:rFonts w:ascii="Cambria Math" w:hAnsi="Cambria Math"/>
                </w:rPr>
                <m:t>P</m:t>
              </m:r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a</m:t>
                  </m:r>
                  <m:r>
                    <w:rPr>
                      <w:rFonts w:ascii="Cambria Math" w:hAnsi="Cambria Math"/>
                    </w:rPr>
                    <m:t>+</m:t>
                  </m:r>
                  <m:r>
                    <w:rPr>
                      <w:rFonts w:ascii="Cambria Math" w:hAnsi="Cambria Math"/>
                    </w:rPr>
                    <m:t>b</m:t>
                  </m:r>
                  <m:r>
                    <w:rPr>
                      <w:rFonts w:ascii="Cambria Math" w:hAnsi="Cambria Math"/>
                    </w:rPr>
                    <m:t>+</m:t>
                  </m:r>
                  <m:r>
                    <w:rPr>
                      <w:rFonts w:ascii="Cambria Math" w:hAnsi="Cambria Math"/>
                    </w:rPr>
                    <m:t>c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  <m:r>
                <w:rPr>
                  <w:rFonts w:ascii="Cambria Math" w:hAnsi="Cambria Math"/>
                </w:rPr>
                <m:t>⋅</m:t>
              </m:r>
              <m:r>
                <w:rPr>
                  <w:rFonts w:ascii="Cambria Math" w:hAnsi="Cambria Math"/>
                </w:rPr>
                <m:t>r</m:t>
              </m:r>
            </m:oMath>
          </w:p>
        </w:tc>
      </w:tr>
      <w:tr w:rsidR="00F70715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F70715" w:rsidRDefault="00D243F4">
            <w:pPr>
              <w:pStyle w:val="Standard"/>
              <w:numPr>
                <w:ilvl w:val="0"/>
                <w:numId w:val="9"/>
              </w:numPr>
              <w:rPr>
                <w:rFonts w:hint="eastAsia"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bada, czy trójkąt jest ostrokątny, prostokątny, rozwartokątny</w:t>
            </w:r>
          </w:p>
        </w:tc>
      </w:tr>
      <w:tr w:rsidR="00F70715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F70715" w:rsidRDefault="00D243F4">
            <w:pPr>
              <w:pStyle w:val="Standard"/>
              <w:numPr>
                <w:ilvl w:val="0"/>
                <w:numId w:val="9"/>
              </w:numPr>
              <w:rPr>
                <w:rFonts w:hint="eastAsia"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rozwiązuje zadania dotyczące okręgu opisanego na trójkącie</w:t>
            </w:r>
          </w:p>
        </w:tc>
      </w:tr>
      <w:tr w:rsidR="00F70715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F70715" w:rsidRDefault="00D243F4">
            <w:pPr>
              <w:pStyle w:val="Standard"/>
              <w:numPr>
                <w:ilvl w:val="0"/>
                <w:numId w:val="9"/>
              </w:numPr>
              <w:rPr>
                <w:rFonts w:hint="eastAsia"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rozwiązuje zadania dotyczące okręgu wpisanego w trójkąt</w:t>
            </w:r>
          </w:p>
        </w:tc>
      </w:tr>
      <w:tr w:rsidR="00F70715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F70715" w:rsidRDefault="00D243F4">
            <w:pPr>
              <w:pStyle w:val="Standard"/>
              <w:numPr>
                <w:ilvl w:val="0"/>
                <w:numId w:val="9"/>
              </w:numPr>
              <w:rPr>
                <w:rFonts w:hint="eastAsia"/>
              </w:rPr>
            </w:pPr>
            <w:r>
              <w:rPr>
                <w:bCs/>
                <w:sz w:val="22"/>
                <w:szCs w:val="22"/>
              </w:rPr>
              <w:t>stosuje twierdze</w:t>
            </w:r>
            <w:r>
              <w:rPr>
                <w:bCs/>
                <w:sz w:val="22"/>
                <w:szCs w:val="22"/>
              </w:rPr>
              <w:t>nie cosinusów do rozwiązywania trójkątów oraz do rozwiązywania zadań</w:t>
            </w:r>
            <w:r>
              <w:rPr>
                <w:sz w:val="22"/>
                <w:szCs w:val="22"/>
              </w:rPr>
              <w:t xml:space="preserve"> osadzonych w kontekście praktycznym</w:t>
            </w:r>
          </w:p>
        </w:tc>
      </w:tr>
    </w:tbl>
    <w:p w:rsidR="00F70715" w:rsidRDefault="00F70715">
      <w:pPr>
        <w:pStyle w:val="Standard"/>
        <w:jc w:val="both"/>
        <w:rPr>
          <w:rFonts w:hint="eastAsia"/>
          <w:sz w:val="22"/>
          <w:szCs w:val="22"/>
        </w:rPr>
      </w:pPr>
    </w:p>
    <w:p w:rsidR="00F70715" w:rsidRDefault="00D243F4">
      <w:pPr>
        <w:pStyle w:val="Standard"/>
        <w:jc w:val="both"/>
        <w:rPr>
          <w:rFonts w:hint="eastAsia"/>
        </w:rPr>
      </w:pPr>
      <w:r>
        <w:rPr>
          <w:sz w:val="22"/>
          <w:szCs w:val="22"/>
        </w:rPr>
        <w:t>Poziom</w:t>
      </w:r>
      <w:r>
        <w:rPr>
          <w:b/>
          <w:bCs/>
          <w:sz w:val="22"/>
          <w:szCs w:val="22"/>
        </w:rPr>
        <w:t xml:space="preserve"> (W)</w:t>
      </w:r>
    </w:p>
    <w:p w:rsidR="00F70715" w:rsidRDefault="00D243F4">
      <w:pPr>
        <w:pStyle w:val="Textbody"/>
        <w:rPr>
          <w:rFonts w:hint="eastAsia"/>
        </w:rPr>
      </w:pPr>
      <w:r>
        <w:rPr>
          <w:sz w:val="22"/>
          <w:szCs w:val="22"/>
        </w:rPr>
        <w:t xml:space="preserve">Uczeń otrzymuje ocenę </w:t>
      </w:r>
      <w:r>
        <w:rPr>
          <w:b/>
          <w:bCs/>
          <w:sz w:val="22"/>
          <w:szCs w:val="22"/>
        </w:rPr>
        <w:t>celującą</w:t>
      </w:r>
      <w:r>
        <w:rPr>
          <w:sz w:val="22"/>
          <w:szCs w:val="22"/>
        </w:rPr>
        <w:t>, jeśli opanował wiedzę i umiejętności z poziomów (K)–(D) oraz:</w:t>
      </w:r>
    </w:p>
    <w:tbl>
      <w:tblPr>
        <w:tblW w:w="906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2"/>
      </w:tblGrid>
      <w:tr w:rsidR="00F70715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F70715" w:rsidRDefault="00D243F4">
            <w:pPr>
              <w:pStyle w:val="Standard"/>
              <w:numPr>
                <w:ilvl w:val="0"/>
                <w:numId w:val="9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udowadnia zależności w wielokątach foremnych</w:t>
            </w:r>
            <w:r>
              <w:rPr>
                <w:sz w:val="22"/>
                <w:szCs w:val="22"/>
              </w:rPr>
              <w:t xml:space="preserve"> o podwyższonym stopniu trudności</w:t>
            </w:r>
          </w:p>
        </w:tc>
      </w:tr>
      <w:tr w:rsidR="00F70715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F70715" w:rsidRDefault="00D243F4">
            <w:pPr>
              <w:pStyle w:val="Standard"/>
              <w:numPr>
                <w:ilvl w:val="0"/>
                <w:numId w:val="9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zna i potrafi wykonać konstrukcję pięciokąta foremnego</w:t>
            </w:r>
          </w:p>
        </w:tc>
      </w:tr>
      <w:tr w:rsidR="00F70715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F70715" w:rsidRDefault="00D243F4">
            <w:pPr>
              <w:pStyle w:val="Standard"/>
              <w:numPr>
                <w:ilvl w:val="0"/>
                <w:numId w:val="9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przeprowadza dowód twierdzenia o kątach środkowym i wpisanym w okręgu oraz o kątach wpisanych, opartych na tym samym łuku</w:t>
            </w:r>
          </w:p>
        </w:tc>
      </w:tr>
      <w:tr w:rsidR="00F70715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F70715" w:rsidRDefault="00D243F4">
            <w:pPr>
              <w:pStyle w:val="Standard"/>
              <w:numPr>
                <w:ilvl w:val="0"/>
                <w:numId w:val="9"/>
              </w:numPr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przeprowadza dowód twierdzenia o </w:t>
            </w:r>
            <w:r>
              <w:rPr>
                <w:color w:val="000000"/>
                <w:sz w:val="22"/>
                <w:szCs w:val="22"/>
              </w:rPr>
              <w:t>cięciwach w okręgu</w:t>
            </w:r>
          </w:p>
        </w:tc>
      </w:tr>
      <w:tr w:rsidR="00F70715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F70715" w:rsidRDefault="00D243F4">
            <w:pPr>
              <w:pStyle w:val="Standard"/>
              <w:numPr>
                <w:ilvl w:val="0"/>
                <w:numId w:val="9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uzasadnia zależność między długością boku a promieniem okręgu opisanego na wielokącie foremnym lub wpisanego w wielokąt foremny</w:t>
            </w:r>
          </w:p>
        </w:tc>
      </w:tr>
      <w:tr w:rsidR="00F70715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F70715" w:rsidRDefault="00D243F4">
            <w:pPr>
              <w:pStyle w:val="Standard"/>
              <w:numPr>
                <w:ilvl w:val="0"/>
                <w:numId w:val="9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przeprowadza dowód twierdzenia cosinusów</w:t>
            </w:r>
          </w:p>
        </w:tc>
      </w:tr>
      <w:tr w:rsidR="00F70715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F70715" w:rsidRDefault="00D243F4">
            <w:pPr>
              <w:pStyle w:val="Standard"/>
              <w:numPr>
                <w:ilvl w:val="0"/>
                <w:numId w:val="9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rozwiązuje zadania z planimetrii z zastosowaniem trygonometrii o </w:t>
            </w:r>
            <w:r>
              <w:rPr>
                <w:sz w:val="22"/>
                <w:szCs w:val="22"/>
              </w:rPr>
              <w:t>podwyższonym stopniu trudności</w:t>
            </w:r>
          </w:p>
        </w:tc>
      </w:tr>
      <w:tr w:rsidR="00F70715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F70715" w:rsidRDefault="00D243F4">
            <w:pPr>
              <w:pStyle w:val="Standard"/>
              <w:numPr>
                <w:ilvl w:val="0"/>
                <w:numId w:val="9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udowadnia, że symetralne boków trójkąta przecinają się w jednym punkcie</w:t>
            </w:r>
          </w:p>
        </w:tc>
      </w:tr>
      <w:tr w:rsidR="00F70715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F70715" w:rsidRDefault="00D243F4">
            <w:pPr>
              <w:pStyle w:val="Standard"/>
              <w:numPr>
                <w:ilvl w:val="0"/>
                <w:numId w:val="9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udowadnia, że dwusieczne kątów wewnętrznych trójkąta przecinają się w jednym punkcie</w:t>
            </w:r>
          </w:p>
        </w:tc>
      </w:tr>
    </w:tbl>
    <w:p w:rsidR="00F70715" w:rsidRDefault="00F70715">
      <w:pPr>
        <w:pStyle w:val="Standard"/>
        <w:spacing w:line="120" w:lineRule="atLeast"/>
        <w:jc w:val="both"/>
        <w:rPr>
          <w:rFonts w:hint="eastAsia"/>
        </w:rPr>
      </w:pPr>
    </w:p>
    <w:p w:rsidR="00F70715" w:rsidRDefault="00F70715">
      <w:pPr>
        <w:pStyle w:val="Textbody"/>
        <w:spacing w:line="120" w:lineRule="atLeast"/>
        <w:jc w:val="both"/>
        <w:rPr>
          <w:rFonts w:hint="eastAsia"/>
          <w:color w:val="000000"/>
          <w:sz w:val="22"/>
          <w:szCs w:val="22"/>
        </w:rPr>
      </w:pPr>
    </w:p>
    <w:p w:rsidR="00F70715" w:rsidRDefault="00F70715">
      <w:pPr>
        <w:pStyle w:val="Textbody"/>
        <w:spacing w:line="120" w:lineRule="atLeast"/>
        <w:jc w:val="both"/>
        <w:rPr>
          <w:rFonts w:hint="eastAsia"/>
          <w:sz w:val="22"/>
          <w:szCs w:val="22"/>
        </w:rPr>
      </w:pPr>
    </w:p>
    <w:sectPr w:rsidR="00F70715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D243F4">
      <w:pPr>
        <w:rPr>
          <w:rFonts w:hint="eastAsia"/>
        </w:rPr>
      </w:pPr>
      <w:r>
        <w:separator/>
      </w:r>
    </w:p>
  </w:endnote>
  <w:endnote w:type="continuationSeparator" w:id="0">
    <w:p w:rsidR="00000000" w:rsidRDefault="00D243F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Roboto">
    <w:altName w:val="Times New Roman"/>
    <w:charset w:val="00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boto Light">
    <w:charset w:val="00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D243F4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000000" w:rsidRDefault="00D243F4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7113A"/>
    <w:multiLevelType w:val="multilevel"/>
    <w:tmpl w:val="3A5C355C"/>
    <w:styleLink w:val="WWNum53"/>
    <w:lvl w:ilvl="0">
      <w:numFmt w:val="bullet"/>
      <w:lvlText w:val=""/>
      <w:lvlJc w:val="left"/>
      <w:pPr>
        <w:ind w:left="927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27330B3"/>
    <w:multiLevelType w:val="multilevel"/>
    <w:tmpl w:val="EAB6CE5C"/>
    <w:styleLink w:val="WWNum35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3F50F46"/>
    <w:multiLevelType w:val="multilevel"/>
    <w:tmpl w:val="24BEEC84"/>
    <w:styleLink w:val="WWNum6"/>
    <w:lvl w:ilvl="0">
      <w:numFmt w:val="bullet"/>
      <w:lvlText w:val=""/>
      <w:lvlJc w:val="left"/>
      <w:pPr>
        <w:ind w:left="643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051A6425"/>
    <w:multiLevelType w:val="multilevel"/>
    <w:tmpl w:val="78CA697E"/>
    <w:styleLink w:val="WWNum40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06035863"/>
    <w:multiLevelType w:val="multilevel"/>
    <w:tmpl w:val="2D42ADA6"/>
    <w:styleLink w:val="WWNum33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5" w15:restartNumberingAfterBreak="0">
    <w:nsid w:val="07BE223D"/>
    <w:multiLevelType w:val="multilevel"/>
    <w:tmpl w:val="8A58BE0E"/>
    <w:styleLink w:val="WWNum57"/>
    <w:lvl w:ilvl="0">
      <w:numFmt w:val="bullet"/>
      <w:lvlText w:val=""/>
      <w:lvlJc w:val="left"/>
      <w:pPr>
        <w:ind w:left="720" w:hanging="360"/>
      </w:pPr>
      <w:rPr>
        <w:rFonts w:ascii="Symbol" w:eastAsia="Times New Roman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08E314EF"/>
    <w:multiLevelType w:val="multilevel"/>
    <w:tmpl w:val="96EEA7A4"/>
    <w:styleLink w:val="WWNum2"/>
    <w:lvl w:ilvl="0">
      <w:numFmt w:val="bullet"/>
      <w:lvlText w:val=""/>
      <w:lvlJc w:val="left"/>
      <w:pPr>
        <w:ind w:left="643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095401A2"/>
    <w:multiLevelType w:val="multilevel"/>
    <w:tmpl w:val="A83CA856"/>
    <w:styleLink w:val="WWNum18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8" w15:restartNumberingAfterBreak="0">
    <w:nsid w:val="0B7C4F3D"/>
    <w:multiLevelType w:val="multilevel"/>
    <w:tmpl w:val="16287FB2"/>
    <w:styleLink w:val="WWNum15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9" w15:restartNumberingAfterBreak="0">
    <w:nsid w:val="0D1F0D65"/>
    <w:multiLevelType w:val="multilevel"/>
    <w:tmpl w:val="4204E5E2"/>
    <w:styleLink w:val="WWNum50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0E7A0BC5"/>
    <w:multiLevelType w:val="multilevel"/>
    <w:tmpl w:val="6756C936"/>
    <w:styleLink w:val="WWNum25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11" w15:restartNumberingAfterBreak="0">
    <w:nsid w:val="0F6F376F"/>
    <w:multiLevelType w:val="multilevel"/>
    <w:tmpl w:val="B51222A6"/>
    <w:styleLink w:val="WWNum38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 w15:restartNumberingAfterBreak="0">
    <w:nsid w:val="178F01F8"/>
    <w:multiLevelType w:val="multilevel"/>
    <w:tmpl w:val="53B4B102"/>
    <w:styleLink w:val="WWNum7"/>
    <w:lvl w:ilvl="0">
      <w:numFmt w:val="bullet"/>
      <w:lvlText w:val=""/>
      <w:lvlJc w:val="left"/>
      <w:pPr>
        <w:ind w:left="643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 w15:restartNumberingAfterBreak="0">
    <w:nsid w:val="183A2A01"/>
    <w:multiLevelType w:val="multilevel"/>
    <w:tmpl w:val="553070A0"/>
    <w:styleLink w:val="WWNum34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14" w15:restartNumberingAfterBreak="0">
    <w:nsid w:val="1B427492"/>
    <w:multiLevelType w:val="multilevel"/>
    <w:tmpl w:val="CB2E3708"/>
    <w:styleLink w:val="WWNum30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15" w15:restartNumberingAfterBreak="0">
    <w:nsid w:val="1E4C7A52"/>
    <w:multiLevelType w:val="multilevel"/>
    <w:tmpl w:val="F13C5176"/>
    <w:styleLink w:val="WWNum42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 w15:restartNumberingAfterBreak="0">
    <w:nsid w:val="1E695C5A"/>
    <w:multiLevelType w:val="multilevel"/>
    <w:tmpl w:val="4E1E6030"/>
    <w:styleLink w:val="WWNum27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17" w15:restartNumberingAfterBreak="0">
    <w:nsid w:val="22431B84"/>
    <w:multiLevelType w:val="multilevel"/>
    <w:tmpl w:val="A1888C60"/>
    <w:styleLink w:val="WWNum16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18" w15:restartNumberingAfterBreak="0">
    <w:nsid w:val="23DC7515"/>
    <w:multiLevelType w:val="multilevel"/>
    <w:tmpl w:val="E7043A08"/>
    <w:styleLink w:val="WWNum8"/>
    <w:lvl w:ilvl="0">
      <w:numFmt w:val="bullet"/>
      <w:lvlText w:val=""/>
      <w:lvlJc w:val="left"/>
      <w:pPr>
        <w:ind w:left="643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 w15:restartNumberingAfterBreak="0">
    <w:nsid w:val="2BBB5A12"/>
    <w:multiLevelType w:val="multilevel"/>
    <w:tmpl w:val="6D4464A8"/>
    <w:styleLink w:val="WWNum36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 w15:restartNumberingAfterBreak="0">
    <w:nsid w:val="2C9F1658"/>
    <w:multiLevelType w:val="multilevel"/>
    <w:tmpl w:val="D3A29896"/>
    <w:styleLink w:val="WWNum54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 w15:restartNumberingAfterBreak="0">
    <w:nsid w:val="2F133556"/>
    <w:multiLevelType w:val="multilevel"/>
    <w:tmpl w:val="DC8455F2"/>
    <w:styleLink w:val="WWNum55"/>
    <w:lvl w:ilvl="0">
      <w:numFmt w:val="bullet"/>
      <w:lvlText w:val=""/>
      <w:lvlJc w:val="left"/>
      <w:pPr>
        <w:ind w:left="643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" w15:restartNumberingAfterBreak="0">
    <w:nsid w:val="336F6190"/>
    <w:multiLevelType w:val="multilevel"/>
    <w:tmpl w:val="3D48566C"/>
    <w:styleLink w:val="WWNum5"/>
    <w:lvl w:ilvl="0">
      <w:numFmt w:val="bullet"/>
      <w:lvlText w:val=""/>
      <w:lvlJc w:val="left"/>
      <w:pPr>
        <w:ind w:left="643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" w15:restartNumberingAfterBreak="0">
    <w:nsid w:val="345A2237"/>
    <w:multiLevelType w:val="multilevel"/>
    <w:tmpl w:val="A2CA9A22"/>
    <w:styleLink w:val="WWNum46"/>
    <w:lvl w:ilvl="0">
      <w:start w:val="1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4" w15:restartNumberingAfterBreak="0">
    <w:nsid w:val="34FC676F"/>
    <w:multiLevelType w:val="multilevel"/>
    <w:tmpl w:val="9D041C8E"/>
    <w:styleLink w:val="WWNum28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25" w15:restartNumberingAfterBreak="0">
    <w:nsid w:val="357D3396"/>
    <w:multiLevelType w:val="multilevel"/>
    <w:tmpl w:val="5A90E18E"/>
    <w:styleLink w:val="WWNum43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6" w15:restartNumberingAfterBreak="0">
    <w:nsid w:val="359603FA"/>
    <w:multiLevelType w:val="multilevel"/>
    <w:tmpl w:val="72C0917C"/>
    <w:styleLink w:val="WWNum21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27" w15:restartNumberingAfterBreak="0">
    <w:nsid w:val="388755C4"/>
    <w:multiLevelType w:val="multilevel"/>
    <w:tmpl w:val="1D024356"/>
    <w:styleLink w:val="WWNum10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28" w15:restartNumberingAfterBreak="0">
    <w:nsid w:val="3E38298D"/>
    <w:multiLevelType w:val="multilevel"/>
    <w:tmpl w:val="62B2BC34"/>
    <w:styleLink w:val="WWNum47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9" w15:restartNumberingAfterBreak="0">
    <w:nsid w:val="416201DB"/>
    <w:multiLevelType w:val="multilevel"/>
    <w:tmpl w:val="DA8CA884"/>
    <w:styleLink w:val="WWNum41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0" w15:restartNumberingAfterBreak="0">
    <w:nsid w:val="444C4B92"/>
    <w:multiLevelType w:val="multilevel"/>
    <w:tmpl w:val="D0803A54"/>
    <w:styleLink w:val="WWNum52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1" w15:restartNumberingAfterBreak="0">
    <w:nsid w:val="470F3E44"/>
    <w:multiLevelType w:val="multilevel"/>
    <w:tmpl w:val="00C834D8"/>
    <w:styleLink w:val="WWNum19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32" w15:restartNumberingAfterBreak="0">
    <w:nsid w:val="47537B6B"/>
    <w:multiLevelType w:val="multilevel"/>
    <w:tmpl w:val="05B67EFE"/>
    <w:styleLink w:val="WWNum4"/>
    <w:lvl w:ilvl="0">
      <w:numFmt w:val="bullet"/>
      <w:lvlText w:val=""/>
      <w:lvlJc w:val="left"/>
      <w:pPr>
        <w:ind w:left="643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3" w15:restartNumberingAfterBreak="0">
    <w:nsid w:val="47F70F4F"/>
    <w:multiLevelType w:val="multilevel"/>
    <w:tmpl w:val="D764CD06"/>
    <w:styleLink w:val="WWNum32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34" w15:restartNumberingAfterBreak="0">
    <w:nsid w:val="487A23E1"/>
    <w:multiLevelType w:val="multilevel"/>
    <w:tmpl w:val="5F222B96"/>
    <w:styleLink w:val="WWNum20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35" w15:restartNumberingAfterBreak="0">
    <w:nsid w:val="48C62526"/>
    <w:multiLevelType w:val="multilevel"/>
    <w:tmpl w:val="D0ACDF04"/>
    <w:styleLink w:val="WWNum49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6" w15:restartNumberingAfterBreak="0">
    <w:nsid w:val="4B4851AF"/>
    <w:multiLevelType w:val="multilevel"/>
    <w:tmpl w:val="EBBE6C14"/>
    <w:styleLink w:val="WWNum44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7" w15:restartNumberingAfterBreak="0">
    <w:nsid w:val="4D1B3B8D"/>
    <w:multiLevelType w:val="multilevel"/>
    <w:tmpl w:val="9A10DBA4"/>
    <w:styleLink w:val="WWNum12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38" w15:restartNumberingAfterBreak="0">
    <w:nsid w:val="4DBF5329"/>
    <w:multiLevelType w:val="multilevel"/>
    <w:tmpl w:val="4670B70E"/>
    <w:styleLink w:val="WWNum39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9" w15:restartNumberingAfterBreak="0">
    <w:nsid w:val="4EBC3AF8"/>
    <w:multiLevelType w:val="multilevel"/>
    <w:tmpl w:val="1AD272C6"/>
    <w:styleLink w:val="WWNum9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40" w15:restartNumberingAfterBreak="0">
    <w:nsid w:val="504E077E"/>
    <w:multiLevelType w:val="multilevel"/>
    <w:tmpl w:val="304C4FEC"/>
    <w:styleLink w:val="WWNum48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1" w15:restartNumberingAfterBreak="0">
    <w:nsid w:val="504F3445"/>
    <w:multiLevelType w:val="multilevel"/>
    <w:tmpl w:val="0C22B694"/>
    <w:styleLink w:val="WWNum13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42" w15:restartNumberingAfterBreak="0">
    <w:nsid w:val="52E44204"/>
    <w:multiLevelType w:val="multilevel"/>
    <w:tmpl w:val="8950424A"/>
    <w:styleLink w:val="WWNum31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43" w15:restartNumberingAfterBreak="0">
    <w:nsid w:val="558E67BE"/>
    <w:multiLevelType w:val="multilevel"/>
    <w:tmpl w:val="5156D26C"/>
    <w:styleLink w:val="WWNum56"/>
    <w:lvl w:ilvl="0">
      <w:numFmt w:val="bullet"/>
      <w:lvlText w:val=""/>
      <w:lvlJc w:val="left"/>
      <w:pPr>
        <w:ind w:left="502" w:hanging="360"/>
      </w:pPr>
      <w:rPr>
        <w:rFonts w:ascii="Symbol" w:hAnsi="Symbol"/>
        <w:color w:val="00000A"/>
      </w:rPr>
    </w:lvl>
    <w:lvl w:ilvl="1">
      <w:numFmt w:val="bullet"/>
      <w:lvlText w:val="o"/>
      <w:lvlJc w:val="left"/>
      <w:pPr>
        <w:ind w:left="1796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51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3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56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67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9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16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836" w:hanging="360"/>
      </w:pPr>
      <w:rPr>
        <w:rFonts w:ascii="Wingdings" w:hAnsi="Wingdings"/>
      </w:rPr>
    </w:lvl>
  </w:abstractNum>
  <w:abstractNum w:abstractNumId="44" w15:restartNumberingAfterBreak="0">
    <w:nsid w:val="55A90D12"/>
    <w:multiLevelType w:val="multilevel"/>
    <w:tmpl w:val="4538D5A4"/>
    <w:styleLink w:val="WWNum51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5" w15:restartNumberingAfterBreak="0">
    <w:nsid w:val="56012FD6"/>
    <w:multiLevelType w:val="multilevel"/>
    <w:tmpl w:val="9E743648"/>
    <w:styleLink w:val="WWNum22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46" w15:restartNumberingAfterBreak="0">
    <w:nsid w:val="57A4019B"/>
    <w:multiLevelType w:val="multilevel"/>
    <w:tmpl w:val="96DAA048"/>
    <w:styleLink w:val="WWNum3"/>
    <w:lvl w:ilvl="0">
      <w:numFmt w:val="bullet"/>
      <w:lvlText w:val=""/>
      <w:lvlJc w:val="left"/>
      <w:pPr>
        <w:ind w:left="643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7" w15:restartNumberingAfterBreak="0">
    <w:nsid w:val="5A4143B8"/>
    <w:multiLevelType w:val="multilevel"/>
    <w:tmpl w:val="603E9C7E"/>
    <w:styleLink w:val="WWNum17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48" w15:restartNumberingAfterBreak="0">
    <w:nsid w:val="5A71677A"/>
    <w:multiLevelType w:val="multilevel"/>
    <w:tmpl w:val="EBC46800"/>
    <w:styleLink w:val="WWNum26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49" w15:restartNumberingAfterBreak="0">
    <w:nsid w:val="5B3E202D"/>
    <w:multiLevelType w:val="multilevel"/>
    <w:tmpl w:val="16EA8784"/>
    <w:styleLink w:val="WWNum29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50" w15:restartNumberingAfterBreak="0">
    <w:nsid w:val="5C9F7E5A"/>
    <w:multiLevelType w:val="multilevel"/>
    <w:tmpl w:val="106A0CD4"/>
    <w:styleLink w:val="WWNum45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1" w15:restartNumberingAfterBreak="0">
    <w:nsid w:val="5E7A395F"/>
    <w:multiLevelType w:val="multilevel"/>
    <w:tmpl w:val="475A9DD2"/>
    <w:styleLink w:val="WWNum1"/>
    <w:lvl w:ilvl="0">
      <w:numFmt w:val="bullet"/>
      <w:lvlText w:val=""/>
      <w:lvlJc w:val="left"/>
      <w:pPr>
        <w:ind w:left="643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2" w15:restartNumberingAfterBreak="0">
    <w:nsid w:val="60A973A1"/>
    <w:multiLevelType w:val="multilevel"/>
    <w:tmpl w:val="78061FE2"/>
    <w:styleLink w:val="WWNum11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53" w15:restartNumberingAfterBreak="0">
    <w:nsid w:val="6E910A67"/>
    <w:multiLevelType w:val="multilevel"/>
    <w:tmpl w:val="878EBFE2"/>
    <w:styleLink w:val="WWNum23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54" w15:restartNumberingAfterBreak="0">
    <w:nsid w:val="759479BE"/>
    <w:multiLevelType w:val="multilevel"/>
    <w:tmpl w:val="8C54FF26"/>
    <w:styleLink w:val="WWNum14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55" w15:restartNumberingAfterBreak="0">
    <w:nsid w:val="78CF0020"/>
    <w:multiLevelType w:val="multilevel"/>
    <w:tmpl w:val="E834CB0A"/>
    <w:styleLink w:val="NoList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56" w15:restartNumberingAfterBreak="0">
    <w:nsid w:val="793E1652"/>
    <w:multiLevelType w:val="multilevel"/>
    <w:tmpl w:val="FCCE32B2"/>
    <w:styleLink w:val="WWNum24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57" w15:restartNumberingAfterBreak="0">
    <w:nsid w:val="7BF11D99"/>
    <w:multiLevelType w:val="multilevel"/>
    <w:tmpl w:val="40C059DE"/>
    <w:styleLink w:val="WWNum37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55"/>
  </w:num>
  <w:num w:numId="2">
    <w:abstractNumId w:val="51"/>
  </w:num>
  <w:num w:numId="3">
    <w:abstractNumId w:val="6"/>
  </w:num>
  <w:num w:numId="4">
    <w:abstractNumId w:val="46"/>
  </w:num>
  <w:num w:numId="5">
    <w:abstractNumId w:val="32"/>
  </w:num>
  <w:num w:numId="6">
    <w:abstractNumId w:val="22"/>
  </w:num>
  <w:num w:numId="7">
    <w:abstractNumId w:val="2"/>
  </w:num>
  <w:num w:numId="8">
    <w:abstractNumId w:val="12"/>
  </w:num>
  <w:num w:numId="9">
    <w:abstractNumId w:val="18"/>
  </w:num>
  <w:num w:numId="10">
    <w:abstractNumId w:val="39"/>
  </w:num>
  <w:num w:numId="11">
    <w:abstractNumId w:val="27"/>
  </w:num>
  <w:num w:numId="12">
    <w:abstractNumId w:val="52"/>
  </w:num>
  <w:num w:numId="13">
    <w:abstractNumId w:val="37"/>
  </w:num>
  <w:num w:numId="14">
    <w:abstractNumId w:val="41"/>
  </w:num>
  <w:num w:numId="15">
    <w:abstractNumId w:val="54"/>
  </w:num>
  <w:num w:numId="16">
    <w:abstractNumId w:val="8"/>
  </w:num>
  <w:num w:numId="17">
    <w:abstractNumId w:val="17"/>
  </w:num>
  <w:num w:numId="18">
    <w:abstractNumId w:val="47"/>
  </w:num>
  <w:num w:numId="19">
    <w:abstractNumId w:val="7"/>
  </w:num>
  <w:num w:numId="20">
    <w:abstractNumId w:val="31"/>
  </w:num>
  <w:num w:numId="21">
    <w:abstractNumId w:val="34"/>
  </w:num>
  <w:num w:numId="22">
    <w:abstractNumId w:val="26"/>
  </w:num>
  <w:num w:numId="23">
    <w:abstractNumId w:val="45"/>
  </w:num>
  <w:num w:numId="24">
    <w:abstractNumId w:val="53"/>
  </w:num>
  <w:num w:numId="25">
    <w:abstractNumId w:val="56"/>
  </w:num>
  <w:num w:numId="26">
    <w:abstractNumId w:val="10"/>
  </w:num>
  <w:num w:numId="27">
    <w:abstractNumId w:val="48"/>
  </w:num>
  <w:num w:numId="28">
    <w:abstractNumId w:val="16"/>
  </w:num>
  <w:num w:numId="29">
    <w:abstractNumId w:val="24"/>
  </w:num>
  <w:num w:numId="30">
    <w:abstractNumId w:val="49"/>
  </w:num>
  <w:num w:numId="31">
    <w:abstractNumId w:val="14"/>
  </w:num>
  <w:num w:numId="32">
    <w:abstractNumId w:val="42"/>
  </w:num>
  <w:num w:numId="33">
    <w:abstractNumId w:val="33"/>
  </w:num>
  <w:num w:numId="34">
    <w:abstractNumId w:val="4"/>
  </w:num>
  <w:num w:numId="35">
    <w:abstractNumId w:val="13"/>
  </w:num>
  <w:num w:numId="36">
    <w:abstractNumId w:val="1"/>
  </w:num>
  <w:num w:numId="37">
    <w:abstractNumId w:val="19"/>
  </w:num>
  <w:num w:numId="38">
    <w:abstractNumId w:val="57"/>
  </w:num>
  <w:num w:numId="39">
    <w:abstractNumId w:val="11"/>
  </w:num>
  <w:num w:numId="40">
    <w:abstractNumId w:val="38"/>
  </w:num>
  <w:num w:numId="41">
    <w:abstractNumId w:val="3"/>
  </w:num>
  <w:num w:numId="42">
    <w:abstractNumId w:val="29"/>
  </w:num>
  <w:num w:numId="43">
    <w:abstractNumId w:val="15"/>
  </w:num>
  <w:num w:numId="44">
    <w:abstractNumId w:val="25"/>
  </w:num>
  <w:num w:numId="45">
    <w:abstractNumId w:val="36"/>
  </w:num>
  <w:num w:numId="46">
    <w:abstractNumId w:val="50"/>
  </w:num>
  <w:num w:numId="47">
    <w:abstractNumId w:val="23"/>
  </w:num>
  <w:num w:numId="48">
    <w:abstractNumId w:val="28"/>
  </w:num>
  <w:num w:numId="49">
    <w:abstractNumId w:val="40"/>
  </w:num>
  <w:num w:numId="50">
    <w:abstractNumId w:val="35"/>
  </w:num>
  <w:num w:numId="51">
    <w:abstractNumId w:val="9"/>
  </w:num>
  <w:num w:numId="52">
    <w:abstractNumId w:val="44"/>
  </w:num>
  <w:num w:numId="53">
    <w:abstractNumId w:val="30"/>
  </w:num>
  <w:num w:numId="54">
    <w:abstractNumId w:val="0"/>
  </w:num>
  <w:num w:numId="55">
    <w:abstractNumId w:val="20"/>
  </w:num>
  <w:num w:numId="56">
    <w:abstractNumId w:val="21"/>
  </w:num>
  <w:num w:numId="57">
    <w:abstractNumId w:val="43"/>
  </w:num>
  <w:num w:numId="58">
    <w:abstractNumId w:val="5"/>
  </w:num>
  <w:num w:numId="59">
    <w:abstractNumId w:val="41"/>
    <w:lvlOverride w:ilvl="0"/>
  </w:num>
  <w:num w:numId="60">
    <w:abstractNumId w:val="12"/>
    <w:lvlOverride w:ilvl="0"/>
  </w:num>
  <w:num w:numId="61">
    <w:abstractNumId w:val="22"/>
    <w:lvlOverride w:ilvl="0"/>
  </w:num>
  <w:num w:numId="62">
    <w:abstractNumId w:val="18"/>
    <w:lvlOverride w:ilvl="0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F70715"/>
    <w:rsid w:val="00D243F4"/>
    <w:rsid w:val="00F70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7EA710-DF72-4F0D-B4FD-32EDA414A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kern w:val="3"/>
        <w:sz w:val="24"/>
        <w:szCs w:val="24"/>
        <w:lang w:val="pl-PL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Standard"/>
    <w:pPr>
      <w:keepNext/>
      <w:jc w:val="both"/>
      <w:outlineLvl w:val="0"/>
    </w:pPr>
    <w:rPr>
      <w:b/>
      <w:bCs/>
    </w:rPr>
  </w:style>
  <w:style w:type="paragraph" w:styleId="Nagwek2">
    <w:name w:val="heading 2"/>
    <w:basedOn w:val="Standard"/>
    <w:pPr>
      <w:keepNext/>
      <w:keepLines/>
      <w:spacing w:before="200"/>
      <w:outlineLvl w:val="1"/>
    </w:pPr>
    <w:rPr>
      <w:rFonts w:ascii="Cambria" w:eastAsia="Cambria" w:hAnsi="Cambria" w:cs="Cambria"/>
      <w:b/>
      <w:bCs/>
      <w:color w:val="4F81BD"/>
      <w:sz w:val="26"/>
      <w:szCs w:val="26"/>
    </w:rPr>
  </w:style>
  <w:style w:type="paragraph" w:styleId="Nagwek3">
    <w:name w:val="heading 3"/>
    <w:basedOn w:val="Standard"/>
    <w:pPr>
      <w:keepNext/>
      <w:jc w:val="center"/>
      <w:outlineLvl w:val="2"/>
    </w:pPr>
    <w:rPr>
      <w:sz w:val="28"/>
      <w:szCs w:val="20"/>
    </w:rPr>
  </w:style>
  <w:style w:type="paragraph" w:styleId="Nagwek4">
    <w:name w:val="heading 4"/>
    <w:basedOn w:val="Standard"/>
    <w:pPr>
      <w:keepNext/>
      <w:keepLines/>
      <w:spacing w:before="200"/>
      <w:outlineLvl w:val="3"/>
    </w:pPr>
    <w:rPr>
      <w:rFonts w:ascii="Cambria" w:eastAsia="Cambria" w:hAnsi="Cambria" w:cs="Cambria"/>
      <w:b/>
      <w:bCs/>
      <w:i/>
      <w:iCs/>
      <w:color w:val="4F81BD"/>
    </w:rPr>
  </w:style>
  <w:style w:type="paragraph" w:styleId="Nagwek5">
    <w:name w:val="heading 5"/>
    <w:basedOn w:val="Standard"/>
    <w:pPr>
      <w:keepNext/>
      <w:outlineLvl w:val="4"/>
    </w:pPr>
    <w:rPr>
      <w:b/>
      <w:sz w:val="28"/>
      <w:szCs w:val="20"/>
    </w:rPr>
  </w:style>
  <w:style w:type="paragraph" w:styleId="Nagwek6">
    <w:name w:val="heading 6"/>
    <w:basedOn w:val="Standard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StopkaCopyright">
    <w:name w:val="Stopka Copyright"/>
    <w:basedOn w:val="Standard"/>
    <w:pPr>
      <w:jc w:val="both"/>
    </w:pPr>
    <w:rPr>
      <w:rFonts w:ascii="Roboto" w:eastAsia="Calibri" w:hAnsi="Roboto" w:cs="Roboto"/>
      <w:iCs/>
      <w:color w:val="000000"/>
      <w:sz w:val="16"/>
      <w:szCs w:val="18"/>
      <w:lang w:eastAsia="en-US"/>
    </w:rPr>
  </w:style>
  <w:style w:type="paragraph" w:customStyle="1" w:styleId="StronaTytuowaCopyright">
    <w:name w:val="Strona Tytułowa Copyright"/>
    <w:basedOn w:val="Standard"/>
    <w:pPr>
      <w:spacing w:line="276" w:lineRule="auto"/>
      <w:jc w:val="center"/>
    </w:pPr>
    <w:rPr>
      <w:rFonts w:ascii="Roboto Light" w:eastAsia="Calibri" w:hAnsi="Roboto Light" w:cs="Roboto Light"/>
      <w:iCs/>
      <w:color w:val="000000"/>
      <w:sz w:val="20"/>
      <w:szCs w:val="20"/>
      <w:lang w:eastAsia="en-US"/>
    </w:rPr>
  </w:style>
  <w:style w:type="paragraph" w:customStyle="1" w:styleId="StronaTytuowaTytu">
    <w:name w:val="Strona Tytułowa Tytuł"/>
    <w:pPr>
      <w:jc w:val="center"/>
    </w:pPr>
    <w:rPr>
      <w:rFonts w:ascii="Roboto" w:eastAsia="Calibri" w:hAnsi="Roboto" w:cs="Roboto"/>
      <w:sz w:val="64"/>
      <w:lang w:eastAsia="en-US"/>
    </w:rPr>
  </w:style>
  <w:style w:type="paragraph" w:customStyle="1" w:styleId="StronaTytuowaAutorzy">
    <w:name w:val="Strona Tytułowa Autorzy"/>
    <w:pPr>
      <w:jc w:val="center"/>
    </w:pPr>
    <w:rPr>
      <w:rFonts w:ascii="Roboto Light" w:eastAsia="Calibri" w:hAnsi="Roboto Light" w:cs="Roboto Light"/>
      <w:color w:val="000000"/>
      <w:sz w:val="32"/>
      <w:szCs w:val="32"/>
      <w:lang w:eastAsia="en-US"/>
    </w:rPr>
  </w:style>
  <w:style w:type="paragraph" w:customStyle="1" w:styleId="PodtytulArial14">
    <w:name w:val="Podtytul Arial 14"/>
    <w:basedOn w:val="TytulArial20"/>
    <w:pPr>
      <w:spacing w:before="0"/>
    </w:pPr>
    <w:rPr>
      <w:sz w:val="28"/>
      <w:szCs w:val="28"/>
    </w:rPr>
  </w:style>
  <w:style w:type="paragraph" w:customStyle="1" w:styleId="TytulArial20">
    <w:name w:val="Tytul Arial 20"/>
    <w:basedOn w:val="Nagwek2"/>
    <w:pPr>
      <w:spacing w:line="276" w:lineRule="auto"/>
    </w:pPr>
    <w:rPr>
      <w:rFonts w:ascii="Arial" w:eastAsia="Arial" w:hAnsi="Arial" w:cs="Arial"/>
      <w:color w:val="92D050"/>
      <w:sz w:val="40"/>
      <w:szCs w:val="40"/>
      <w:lang w:eastAsia="en-US"/>
    </w:rPr>
  </w:style>
  <w:style w:type="paragraph" w:styleId="Poprawka">
    <w:name w:val="Revision"/>
  </w:style>
  <w:style w:type="paragraph" w:styleId="Tematkomentarza">
    <w:name w:val="annotation subject"/>
    <w:basedOn w:val="Tekstkomentarza"/>
    <w:rPr>
      <w:b/>
      <w:bCs/>
    </w:rPr>
  </w:style>
  <w:style w:type="paragraph" w:styleId="Tekstkomentarza">
    <w:name w:val="annotation text"/>
    <w:basedOn w:val="Standard"/>
    <w:rPr>
      <w:sz w:val="20"/>
      <w:szCs w:val="20"/>
    </w:rPr>
  </w:style>
  <w:style w:type="paragraph" w:styleId="Podtytu">
    <w:name w:val="Subtitle"/>
    <w:basedOn w:val="Standard"/>
    <w:rPr>
      <w:rFonts w:ascii="Cambria" w:eastAsia="Cambria" w:hAnsi="Cambria" w:cs="Cambria"/>
      <w:i/>
      <w:iCs/>
      <w:color w:val="4F81BD"/>
      <w:spacing w:val="15"/>
    </w:rPr>
  </w:style>
  <w:style w:type="paragraph" w:styleId="Listapunktowana2">
    <w:name w:val="List Bullet 2"/>
    <w:basedOn w:val="Standard"/>
    <w:pPr>
      <w:tabs>
        <w:tab w:val="left" w:pos="1286"/>
        <w:tab w:val="left" w:pos="1363"/>
      </w:tabs>
      <w:ind w:left="643" w:hanging="360"/>
    </w:pPr>
  </w:style>
  <w:style w:type="paragraph" w:styleId="Akapitzlist">
    <w:name w:val="List Paragraph"/>
    <w:basedOn w:val="Standard"/>
    <w:pPr>
      <w:ind w:left="720"/>
    </w:pPr>
  </w:style>
  <w:style w:type="paragraph" w:customStyle="1" w:styleId="Akapitzlist1">
    <w:name w:val="Akapit z listą1"/>
    <w:basedOn w:val="Standard"/>
    <w:pPr>
      <w:widowControl w:val="0"/>
      <w:ind w:left="720"/>
    </w:pPr>
    <w:rPr>
      <w:rFonts w:ascii="Arial" w:eastAsia="Arial" w:hAnsi="Arial"/>
      <w:sz w:val="20"/>
      <w:szCs w:val="20"/>
    </w:rPr>
  </w:style>
  <w:style w:type="paragraph" w:styleId="Tekstdymka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customStyle="1" w:styleId="Textbodyindent">
    <w:name w:val="Text body indent"/>
    <w:basedOn w:val="Standard"/>
    <w:pPr>
      <w:spacing w:after="120"/>
      <w:ind w:left="283"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Standard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Nagwek">
    <w:name w:val="header"/>
    <w:basedOn w:val="Standard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Tytu">
    <w:name w:val="Title"/>
    <w:basedOn w:val="Standard"/>
    <w:pPr>
      <w:jc w:val="center"/>
    </w:pPr>
    <w:rPr>
      <w:szCs w:val="20"/>
    </w:rPr>
  </w:style>
  <w:style w:type="paragraph" w:customStyle="1" w:styleId="Kolorowalistaakcent11">
    <w:name w:val="Kolorowa lista — akcent 11"/>
    <w:basedOn w:val="Standard"/>
    <w:pPr>
      <w:ind w:left="720"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ListLabel23">
    <w:name w:val="ListLabel 23"/>
    <w:rPr>
      <w:rFonts w:eastAsia="Times New Roman"/>
    </w:rPr>
  </w:style>
  <w:style w:type="character" w:customStyle="1" w:styleId="ListLabel22">
    <w:name w:val="ListLabel 22"/>
    <w:rPr>
      <w:color w:val="00000A"/>
    </w:rPr>
  </w:style>
  <w:style w:type="character" w:customStyle="1" w:styleId="ListLabel21">
    <w:name w:val="ListLabel 21"/>
    <w:rPr>
      <w:rFonts w:cs="Times New Roman"/>
    </w:rPr>
  </w:style>
  <w:style w:type="character" w:customStyle="1" w:styleId="ListLabel20">
    <w:name w:val="ListLabel 20"/>
    <w:rPr>
      <w:rFonts w:cs="Times New Roman"/>
    </w:rPr>
  </w:style>
  <w:style w:type="character" w:customStyle="1" w:styleId="ListLabel19">
    <w:name w:val="ListLabel 19"/>
    <w:rPr>
      <w:rFonts w:cs="Times New Roman"/>
    </w:rPr>
  </w:style>
  <w:style w:type="character" w:customStyle="1" w:styleId="ListLabel18">
    <w:name w:val="ListLabel 18"/>
    <w:rPr>
      <w:rFonts w:cs="Times New Roman"/>
    </w:rPr>
  </w:style>
  <w:style w:type="character" w:customStyle="1" w:styleId="ListLabel17">
    <w:name w:val="ListLabel 17"/>
    <w:rPr>
      <w:rFonts w:cs="Times New Roman"/>
    </w:rPr>
  </w:style>
  <w:style w:type="character" w:customStyle="1" w:styleId="ListLabel16">
    <w:name w:val="ListLabel 16"/>
    <w:rPr>
      <w:rFonts w:cs="Times New Roman"/>
    </w:rPr>
  </w:style>
  <w:style w:type="character" w:customStyle="1" w:styleId="ListLabel15">
    <w:name w:val="ListLabel 15"/>
    <w:rPr>
      <w:rFonts w:cs="Times New Roman"/>
    </w:rPr>
  </w:style>
  <w:style w:type="character" w:customStyle="1" w:styleId="ListLabel14">
    <w:name w:val="ListLabel 14"/>
    <w:rPr>
      <w:rFonts w:cs="Times New Roman"/>
    </w:rPr>
  </w:style>
  <w:style w:type="character" w:customStyle="1" w:styleId="ListLabel13">
    <w:name w:val="ListLabel 13"/>
    <w:rPr>
      <w:rFonts w:cs="Times New Roman"/>
    </w:rPr>
  </w:style>
  <w:style w:type="character" w:customStyle="1" w:styleId="ListLabel12">
    <w:name w:val="ListLabel 12"/>
    <w:rPr>
      <w:rFonts w:cs="Times New Roman"/>
    </w:rPr>
  </w:style>
  <w:style w:type="character" w:customStyle="1" w:styleId="ListLabel11">
    <w:name w:val="ListLabel 11"/>
    <w:rPr>
      <w:rFonts w:cs="Times New Roman"/>
    </w:rPr>
  </w:style>
  <w:style w:type="character" w:customStyle="1" w:styleId="ListLabel10">
    <w:name w:val="ListLabel 10"/>
    <w:rPr>
      <w:rFonts w:cs="Times New Roman"/>
    </w:rPr>
  </w:style>
  <w:style w:type="character" w:customStyle="1" w:styleId="ListLabel9">
    <w:name w:val="ListLabel 9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1">
    <w:name w:val="ListLabel 1"/>
    <w:rPr>
      <w:rFonts w:cs="Times New Roman"/>
    </w:rPr>
  </w:style>
  <w:style w:type="character" w:styleId="Tekstzastpczy">
    <w:name w:val="Placeholder Text"/>
    <w:basedOn w:val="Domylnaczcionkaakapitu"/>
    <w:rPr>
      <w:color w:val="808080"/>
    </w:rPr>
  </w:style>
  <w:style w:type="character" w:customStyle="1" w:styleId="PodtytulArial14Znak">
    <w:name w:val="Podtytul Arial 14 Znak"/>
    <w:basedOn w:val="TytulArial20Znak"/>
    <w:rPr>
      <w:rFonts w:ascii="Arial" w:eastAsia="Arial" w:hAnsi="Arial" w:cs="Arial"/>
      <w:b/>
      <w:bCs/>
      <w:color w:val="92D050"/>
      <w:sz w:val="28"/>
      <w:szCs w:val="28"/>
      <w:lang w:eastAsia="en-US"/>
    </w:rPr>
  </w:style>
  <w:style w:type="character" w:customStyle="1" w:styleId="TytulArial20Znak">
    <w:name w:val="Tytul Arial 20 Znak"/>
    <w:basedOn w:val="Nagwek2Znak"/>
    <w:rPr>
      <w:rFonts w:ascii="Arial" w:eastAsia="Arial" w:hAnsi="Arial" w:cs="Arial"/>
      <w:b/>
      <w:bCs/>
      <w:color w:val="92D050"/>
      <w:sz w:val="40"/>
      <w:szCs w:val="40"/>
      <w:lang w:eastAsia="en-US"/>
    </w:rPr>
  </w:style>
  <w:style w:type="character" w:customStyle="1" w:styleId="TematkomentarzaZnak">
    <w:name w:val="Temat komentarza Znak"/>
    <w:basedOn w:val="TekstkomentarzaZnak"/>
    <w:rPr>
      <w:rFonts w:cs="Times New Roman"/>
      <w:b/>
      <w:bCs/>
    </w:rPr>
  </w:style>
  <w:style w:type="character" w:customStyle="1" w:styleId="TekstkomentarzaZnak">
    <w:name w:val="Tekst komentarza Znak"/>
    <w:basedOn w:val="Domylnaczcionkaakapitu"/>
    <w:rPr>
      <w:rFonts w:cs="Times New Roman"/>
    </w:rPr>
  </w:style>
  <w:style w:type="character" w:styleId="Odwoaniedokomentarza">
    <w:name w:val="annotation reference"/>
    <w:basedOn w:val="Domylnaczcionkaakapitu"/>
    <w:rPr>
      <w:rFonts w:cs="Times New Roman"/>
      <w:sz w:val="16"/>
      <w:szCs w:val="16"/>
    </w:rPr>
  </w:style>
  <w:style w:type="character" w:customStyle="1" w:styleId="PodtytuZnak">
    <w:name w:val="Podtytuł Znak"/>
    <w:basedOn w:val="Domylnaczcionkaakapitu"/>
    <w:rPr>
      <w:rFonts w:ascii="Cambria" w:eastAsia="Cambria" w:hAnsi="Cambria" w:cs="Times New Roman"/>
      <w:i/>
      <w:iCs/>
      <w:color w:val="4F81BD"/>
      <w:spacing w:val="15"/>
      <w:sz w:val="24"/>
      <w:szCs w:val="24"/>
    </w:rPr>
  </w:style>
  <w:style w:type="character" w:customStyle="1" w:styleId="TekstdymkaZnak">
    <w:name w:val="Tekst dymka Znak"/>
    <w:basedOn w:val="Domylnaczcionkaakapitu"/>
    <w:rPr>
      <w:rFonts w:ascii="Tahoma" w:eastAsia="Tahoma" w:hAnsi="Tahoma" w:cs="Tahoma"/>
      <w:sz w:val="16"/>
      <w:szCs w:val="16"/>
    </w:rPr>
  </w:style>
  <w:style w:type="character" w:customStyle="1" w:styleId="TekstpodstawowywcityZnak">
    <w:name w:val="Tekst podstawowy wcięty Znak"/>
    <w:basedOn w:val="Domylnaczcionkaakapitu"/>
    <w:rPr>
      <w:rFonts w:cs="Times New Roman"/>
      <w:sz w:val="24"/>
      <w:szCs w:val="24"/>
    </w:rPr>
  </w:style>
  <w:style w:type="character" w:styleId="Numerstrony">
    <w:name w:val="page number"/>
    <w:basedOn w:val="Domylnaczcionkaakapitu"/>
    <w:rPr>
      <w:rFonts w:cs="Times New Roman"/>
    </w:rPr>
  </w:style>
  <w:style w:type="character" w:customStyle="1" w:styleId="TekstpodstawowyZnak">
    <w:name w:val="Tekst podstawowy Znak"/>
    <w:basedOn w:val="Domylnaczcionkaakapitu"/>
    <w:rPr>
      <w:rFonts w:cs="Times New Roman"/>
      <w:sz w:val="24"/>
      <w:szCs w:val="24"/>
    </w:rPr>
  </w:style>
  <w:style w:type="character" w:customStyle="1" w:styleId="StopkaZnak">
    <w:name w:val="Stopka Znak"/>
    <w:basedOn w:val="Domylnaczcionkaakapitu"/>
    <w:rPr>
      <w:rFonts w:cs="Times New Roman"/>
      <w:sz w:val="24"/>
      <w:szCs w:val="24"/>
    </w:rPr>
  </w:style>
  <w:style w:type="character" w:customStyle="1" w:styleId="NagwekZnak">
    <w:name w:val="Nagłówek Znak"/>
    <w:basedOn w:val="Domylnaczcionkaakapitu"/>
    <w:rPr>
      <w:rFonts w:cs="Times New Roman"/>
    </w:rPr>
  </w:style>
  <w:style w:type="character" w:customStyle="1" w:styleId="TytuZnak">
    <w:name w:val="Tytuł Znak"/>
    <w:basedOn w:val="Domylnaczcionkaakapitu"/>
    <w:rPr>
      <w:rFonts w:ascii="Cambria" w:eastAsia="Cambria" w:hAnsi="Cambria" w:cs="Times New Roman"/>
      <w:b/>
      <w:bCs/>
      <w:kern w:val="3"/>
      <w:sz w:val="32"/>
      <w:szCs w:val="32"/>
    </w:rPr>
  </w:style>
  <w:style w:type="character" w:customStyle="1" w:styleId="Nagwek6Znak">
    <w:name w:val="Nagłówek 6 Znak"/>
    <w:basedOn w:val="Domylnaczcionkaakapitu"/>
    <w:rPr>
      <w:rFonts w:ascii="Calibri" w:eastAsia="Calibri" w:hAnsi="Calibri" w:cs="Times New Roman"/>
      <w:b/>
      <w:bCs/>
    </w:rPr>
  </w:style>
  <w:style w:type="character" w:customStyle="1" w:styleId="Nagwek5Znak">
    <w:name w:val="Nagłówek 5 Znak"/>
    <w:basedOn w:val="Domylnaczcionkaakapitu"/>
    <w:rPr>
      <w:rFonts w:ascii="Calibri" w:eastAsia="Calibri" w:hAnsi="Calibri" w:cs="Times New Roman"/>
      <w:b/>
      <w:bCs/>
      <w:i/>
      <w:iCs/>
      <w:sz w:val="26"/>
      <w:szCs w:val="26"/>
    </w:rPr>
  </w:style>
  <w:style w:type="character" w:customStyle="1" w:styleId="Nagwek4Znak">
    <w:name w:val="Nagłówek 4 Znak"/>
    <w:basedOn w:val="Domylnaczcionkaakapitu"/>
    <w:rPr>
      <w:rFonts w:ascii="Cambria" w:eastAsia="Cambria" w:hAnsi="Cambria" w:cs="Times New Roman"/>
      <w:b/>
      <w:bCs/>
      <w:i/>
      <w:iCs/>
      <w:color w:val="4F81BD"/>
      <w:sz w:val="24"/>
      <w:szCs w:val="24"/>
    </w:rPr>
  </w:style>
  <w:style w:type="character" w:customStyle="1" w:styleId="Nagwek3Znak">
    <w:name w:val="Nagłówek 3 Znak"/>
    <w:basedOn w:val="Domylnaczcionkaakapitu"/>
    <w:rPr>
      <w:rFonts w:ascii="Cambria" w:eastAsia="Cambria" w:hAnsi="Cambria" w:cs="Times New Roman"/>
      <w:b/>
      <w:bCs/>
      <w:sz w:val="26"/>
      <w:szCs w:val="26"/>
    </w:rPr>
  </w:style>
  <w:style w:type="character" w:customStyle="1" w:styleId="Nagwek2Znak">
    <w:name w:val="Nagłówek 2 Znak"/>
    <w:basedOn w:val="Domylnaczcionkaakapitu"/>
    <w:rPr>
      <w:rFonts w:ascii="Cambria" w:eastAsia="Cambria" w:hAnsi="Cambria" w:cs="Times New Roman"/>
      <w:b/>
      <w:bCs/>
      <w:color w:val="4F81BD"/>
      <w:sz w:val="26"/>
      <w:szCs w:val="26"/>
    </w:rPr>
  </w:style>
  <w:style w:type="numbering" w:customStyle="1" w:styleId="NoList">
    <w:name w:val="No List"/>
    <w:basedOn w:val="Bezlisty"/>
    <w:pPr>
      <w:numPr>
        <w:numId w:val="1"/>
      </w:numPr>
    </w:pPr>
  </w:style>
  <w:style w:type="numbering" w:customStyle="1" w:styleId="WWNum1">
    <w:name w:val="WWNum1"/>
    <w:basedOn w:val="Bezlisty"/>
    <w:pPr>
      <w:numPr>
        <w:numId w:val="2"/>
      </w:numPr>
    </w:pPr>
  </w:style>
  <w:style w:type="numbering" w:customStyle="1" w:styleId="WWNum2">
    <w:name w:val="WWNum2"/>
    <w:basedOn w:val="Bezlisty"/>
    <w:pPr>
      <w:numPr>
        <w:numId w:val="3"/>
      </w:numPr>
    </w:pPr>
  </w:style>
  <w:style w:type="numbering" w:customStyle="1" w:styleId="WWNum3">
    <w:name w:val="WWNum3"/>
    <w:basedOn w:val="Bezlisty"/>
    <w:pPr>
      <w:numPr>
        <w:numId w:val="4"/>
      </w:numPr>
    </w:pPr>
  </w:style>
  <w:style w:type="numbering" w:customStyle="1" w:styleId="WWNum4">
    <w:name w:val="WWNum4"/>
    <w:basedOn w:val="Bezlisty"/>
    <w:pPr>
      <w:numPr>
        <w:numId w:val="5"/>
      </w:numPr>
    </w:pPr>
  </w:style>
  <w:style w:type="numbering" w:customStyle="1" w:styleId="WWNum5">
    <w:name w:val="WWNum5"/>
    <w:basedOn w:val="Bezlisty"/>
    <w:pPr>
      <w:numPr>
        <w:numId w:val="6"/>
      </w:numPr>
    </w:pPr>
  </w:style>
  <w:style w:type="numbering" w:customStyle="1" w:styleId="WWNum6">
    <w:name w:val="WWNum6"/>
    <w:basedOn w:val="Bezlisty"/>
    <w:pPr>
      <w:numPr>
        <w:numId w:val="7"/>
      </w:numPr>
    </w:pPr>
  </w:style>
  <w:style w:type="numbering" w:customStyle="1" w:styleId="WWNum7">
    <w:name w:val="WWNum7"/>
    <w:basedOn w:val="Bezlisty"/>
    <w:pPr>
      <w:numPr>
        <w:numId w:val="8"/>
      </w:numPr>
    </w:pPr>
  </w:style>
  <w:style w:type="numbering" w:customStyle="1" w:styleId="WWNum8">
    <w:name w:val="WWNum8"/>
    <w:basedOn w:val="Bezlisty"/>
    <w:pPr>
      <w:numPr>
        <w:numId w:val="9"/>
      </w:numPr>
    </w:pPr>
  </w:style>
  <w:style w:type="numbering" w:customStyle="1" w:styleId="WWNum9">
    <w:name w:val="WWNum9"/>
    <w:basedOn w:val="Bezlisty"/>
    <w:pPr>
      <w:numPr>
        <w:numId w:val="10"/>
      </w:numPr>
    </w:pPr>
  </w:style>
  <w:style w:type="numbering" w:customStyle="1" w:styleId="WWNum10">
    <w:name w:val="WWNum10"/>
    <w:basedOn w:val="Bezlisty"/>
    <w:pPr>
      <w:numPr>
        <w:numId w:val="11"/>
      </w:numPr>
    </w:pPr>
  </w:style>
  <w:style w:type="numbering" w:customStyle="1" w:styleId="WWNum11">
    <w:name w:val="WWNum11"/>
    <w:basedOn w:val="Bezlisty"/>
    <w:pPr>
      <w:numPr>
        <w:numId w:val="12"/>
      </w:numPr>
    </w:pPr>
  </w:style>
  <w:style w:type="numbering" w:customStyle="1" w:styleId="WWNum12">
    <w:name w:val="WWNum12"/>
    <w:basedOn w:val="Bezlisty"/>
    <w:pPr>
      <w:numPr>
        <w:numId w:val="13"/>
      </w:numPr>
    </w:pPr>
  </w:style>
  <w:style w:type="numbering" w:customStyle="1" w:styleId="WWNum13">
    <w:name w:val="WWNum13"/>
    <w:basedOn w:val="Bezlisty"/>
    <w:pPr>
      <w:numPr>
        <w:numId w:val="14"/>
      </w:numPr>
    </w:pPr>
  </w:style>
  <w:style w:type="numbering" w:customStyle="1" w:styleId="WWNum14">
    <w:name w:val="WWNum14"/>
    <w:basedOn w:val="Bezlisty"/>
    <w:pPr>
      <w:numPr>
        <w:numId w:val="15"/>
      </w:numPr>
    </w:pPr>
  </w:style>
  <w:style w:type="numbering" w:customStyle="1" w:styleId="WWNum15">
    <w:name w:val="WWNum15"/>
    <w:basedOn w:val="Bezlisty"/>
    <w:pPr>
      <w:numPr>
        <w:numId w:val="16"/>
      </w:numPr>
    </w:pPr>
  </w:style>
  <w:style w:type="numbering" w:customStyle="1" w:styleId="WWNum16">
    <w:name w:val="WWNum16"/>
    <w:basedOn w:val="Bezlisty"/>
    <w:pPr>
      <w:numPr>
        <w:numId w:val="17"/>
      </w:numPr>
    </w:pPr>
  </w:style>
  <w:style w:type="numbering" w:customStyle="1" w:styleId="WWNum17">
    <w:name w:val="WWNum17"/>
    <w:basedOn w:val="Bezlisty"/>
    <w:pPr>
      <w:numPr>
        <w:numId w:val="18"/>
      </w:numPr>
    </w:pPr>
  </w:style>
  <w:style w:type="numbering" w:customStyle="1" w:styleId="WWNum18">
    <w:name w:val="WWNum18"/>
    <w:basedOn w:val="Bezlisty"/>
    <w:pPr>
      <w:numPr>
        <w:numId w:val="19"/>
      </w:numPr>
    </w:pPr>
  </w:style>
  <w:style w:type="numbering" w:customStyle="1" w:styleId="WWNum19">
    <w:name w:val="WWNum19"/>
    <w:basedOn w:val="Bezlisty"/>
    <w:pPr>
      <w:numPr>
        <w:numId w:val="20"/>
      </w:numPr>
    </w:pPr>
  </w:style>
  <w:style w:type="numbering" w:customStyle="1" w:styleId="WWNum20">
    <w:name w:val="WWNum20"/>
    <w:basedOn w:val="Bezlisty"/>
    <w:pPr>
      <w:numPr>
        <w:numId w:val="21"/>
      </w:numPr>
    </w:pPr>
  </w:style>
  <w:style w:type="numbering" w:customStyle="1" w:styleId="WWNum21">
    <w:name w:val="WWNum21"/>
    <w:basedOn w:val="Bezlisty"/>
    <w:pPr>
      <w:numPr>
        <w:numId w:val="22"/>
      </w:numPr>
    </w:pPr>
  </w:style>
  <w:style w:type="numbering" w:customStyle="1" w:styleId="WWNum22">
    <w:name w:val="WWNum22"/>
    <w:basedOn w:val="Bezlisty"/>
    <w:pPr>
      <w:numPr>
        <w:numId w:val="23"/>
      </w:numPr>
    </w:pPr>
  </w:style>
  <w:style w:type="numbering" w:customStyle="1" w:styleId="WWNum23">
    <w:name w:val="WWNum23"/>
    <w:basedOn w:val="Bezlisty"/>
    <w:pPr>
      <w:numPr>
        <w:numId w:val="24"/>
      </w:numPr>
    </w:pPr>
  </w:style>
  <w:style w:type="numbering" w:customStyle="1" w:styleId="WWNum24">
    <w:name w:val="WWNum24"/>
    <w:basedOn w:val="Bezlisty"/>
    <w:pPr>
      <w:numPr>
        <w:numId w:val="25"/>
      </w:numPr>
    </w:pPr>
  </w:style>
  <w:style w:type="numbering" w:customStyle="1" w:styleId="WWNum25">
    <w:name w:val="WWNum25"/>
    <w:basedOn w:val="Bezlisty"/>
    <w:pPr>
      <w:numPr>
        <w:numId w:val="26"/>
      </w:numPr>
    </w:pPr>
  </w:style>
  <w:style w:type="numbering" w:customStyle="1" w:styleId="WWNum26">
    <w:name w:val="WWNum26"/>
    <w:basedOn w:val="Bezlisty"/>
    <w:pPr>
      <w:numPr>
        <w:numId w:val="27"/>
      </w:numPr>
    </w:pPr>
  </w:style>
  <w:style w:type="numbering" w:customStyle="1" w:styleId="WWNum27">
    <w:name w:val="WWNum27"/>
    <w:basedOn w:val="Bezlisty"/>
    <w:pPr>
      <w:numPr>
        <w:numId w:val="28"/>
      </w:numPr>
    </w:pPr>
  </w:style>
  <w:style w:type="numbering" w:customStyle="1" w:styleId="WWNum28">
    <w:name w:val="WWNum28"/>
    <w:basedOn w:val="Bezlisty"/>
    <w:pPr>
      <w:numPr>
        <w:numId w:val="29"/>
      </w:numPr>
    </w:pPr>
  </w:style>
  <w:style w:type="numbering" w:customStyle="1" w:styleId="WWNum29">
    <w:name w:val="WWNum29"/>
    <w:basedOn w:val="Bezlisty"/>
    <w:pPr>
      <w:numPr>
        <w:numId w:val="30"/>
      </w:numPr>
    </w:pPr>
  </w:style>
  <w:style w:type="numbering" w:customStyle="1" w:styleId="WWNum30">
    <w:name w:val="WWNum30"/>
    <w:basedOn w:val="Bezlisty"/>
    <w:pPr>
      <w:numPr>
        <w:numId w:val="31"/>
      </w:numPr>
    </w:pPr>
  </w:style>
  <w:style w:type="numbering" w:customStyle="1" w:styleId="WWNum31">
    <w:name w:val="WWNum31"/>
    <w:basedOn w:val="Bezlisty"/>
    <w:pPr>
      <w:numPr>
        <w:numId w:val="32"/>
      </w:numPr>
    </w:pPr>
  </w:style>
  <w:style w:type="numbering" w:customStyle="1" w:styleId="WWNum32">
    <w:name w:val="WWNum32"/>
    <w:basedOn w:val="Bezlisty"/>
    <w:pPr>
      <w:numPr>
        <w:numId w:val="33"/>
      </w:numPr>
    </w:pPr>
  </w:style>
  <w:style w:type="numbering" w:customStyle="1" w:styleId="WWNum33">
    <w:name w:val="WWNum33"/>
    <w:basedOn w:val="Bezlisty"/>
    <w:pPr>
      <w:numPr>
        <w:numId w:val="34"/>
      </w:numPr>
    </w:pPr>
  </w:style>
  <w:style w:type="numbering" w:customStyle="1" w:styleId="WWNum34">
    <w:name w:val="WWNum34"/>
    <w:basedOn w:val="Bezlisty"/>
    <w:pPr>
      <w:numPr>
        <w:numId w:val="35"/>
      </w:numPr>
    </w:pPr>
  </w:style>
  <w:style w:type="numbering" w:customStyle="1" w:styleId="WWNum35">
    <w:name w:val="WWNum35"/>
    <w:basedOn w:val="Bezlisty"/>
    <w:pPr>
      <w:numPr>
        <w:numId w:val="36"/>
      </w:numPr>
    </w:pPr>
  </w:style>
  <w:style w:type="numbering" w:customStyle="1" w:styleId="WWNum36">
    <w:name w:val="WWNum36"/>
    <w:basedOn w:val="Bezlisty"/>
    <w:pPr>
      <w:numPr>
        <w:numId w:val="37"/>
      </w:numPr>
    </w:pPr>
  </w:style>
  <w:style w:type="numbering" w:customStyle="1" w:styleId="WWNum37">
    <w:name w:val="WWNum37"/>
    <w:basedOn w:val="Bezlisty"/>
    <w:pPr>
      <w:numPr>
        <w:numId w:val="38"/>
      </w:numPr>
    </w:pPr>
  </w:style>
  <w:style w:type="numbering" w:customStyle="1" w:styleId="WWNum38">
    <w:name w:val="WWNum38"/>
    <w:basedOn w:val="Bezlisty"/>
    <w:pPr>
      <w:numPr>
        <w:numId w:val="39"/>
      </w:numPr>
    </w:pPr>
  </w:style>
  <w:style w:type="numbering" w:customStyle="1" w:styleId="WWNum39">
    <w:name w:val="WWNum39"/>
    <w:basedOn w:val="Bezlisty"/>
    <w:pPr>
      <w:numPr>
        <w:numId w:val="40"/>
      </w:numPr>
    </w:pPr>
  </w:style>
  <w:style w:type="numbering" w:customStyle="1" w:styleId="WWNum40">
    <w:name w:val="WWNum40"/>
    <w:basedOn w:val="Bezlisty"/>
    <w:pPr>
      <w:numPr>
        <w:numId w:val="41"/>
      </w:numPr>
    </w:pPr>
  </w:style>
  <w:style w:type="numbering" w:customStyle="1" w:styleId="WWNum41">
    <w:name w:val="WWNum41"/>
    <w:basedOn w:val="Bezlisty"/>
    <w:pPr>
      <w:numPr>
        <w:numId w:val="42"/>
      </w:numPr>
    </w:pPr>
  </w:style>
  <w:style w:type="numbering" w:customStyle="1" w:styleId="WWNum42">
    <w:name w:val="WWNum42"/>
    <w:basedOn w:val="Bezlisty"/>
    <w:pPr>
      <w:numPr>
        <w:numId w:val="43"/>
      </w:numPr>
    </w:pPr>
  </w:style>
  <w:style w:type="numbering" w:customStyle="1" w:styleId="WWNum43">
    <w:name w:val="WWNum43"/>
    <w:basedOn w:val="Bezlisty"/>
    <w:pPr>
      <w:numPr>
        <w:numId w:val="44"/>
      </w:numPr>
    </w:pPr>
  </w:style>
  <w:style w:type="numbering" w:customStyle="1" w:styleId="WWNum44">
    <w:name w:val="WWNum44"/>
    <w:basedOn w:val="Bezlisty"/>
    <w:pPr>
      <w:numPr>
        <w:numId w:val="45"/>
      </w:numPr>
    </w:pPr>
  </w:style>
  <w:style w:type="numbering" w:customStyle="1" w:styleId="WWNum45">
    <w:name w:val="WWNum45"/>
    <w:basedOn w:val="Bezlisty"/>
    <w:pPr>
      <w:numPr>
        <w:numId w:val="46"/>
      </w:numPr>
    </w:pPr>
  </w:style>
  <w:style w:type="numbering" w:customStyle="1" w:styleId="WWNum46">
    <w:name w:val="WWNum46"/>
    <w:basedOn w:val="Bezlisty"/>
    <w:pPr>
      <w:numPr>
        <w:numId w:val="47"/>
      </w:numPr>
    </w:pPr>
  </w:style>
  <w:style w:type="numbering" w:customStyle="1" w:styleId="WWNum47">
    <w:name w:val="WWNum47"/>
    <w:basedOn w:val="Bezlisty"/>
    <w:pPr>
      <w:numPr>
        <w:numId w:val="48"/>
      </w:numPr>
    </w:pPr>
  </w:style>
  <w:style w:type="numbering" w:customStyle="1" w:styleId="WWNum48">
    <w:name w:val="WWNum48"/>
    <w:basedOn w:val="Bezlisty"/>
    <w:pPr>
      <w:numPr>
        <w:numId w:val="49"/>
      </w:numPr>
    </w:pPr>
  </w:style>
  <w:style w:type="numbering" w:customStyle="1" w:styleId="WWNum49">
    <w:name w:val="WWNum49"/>
    <w:basedOn w:val="Bezlisty"/>
    <w:pPr>
      <w:numPr>
        <w:numId w:val="50"/>
      </w:numPr>
    </w:pPr>
  </w:style>
  <w:style w:type="numbering" w:customStyle="1" w:styleId="WWNum50">
    <w:name w:val="WWNum50"/>
    <w:basedOn w:val="Bezlisty"/>
    <w:pPr>
      <w:numPr>
        <w:numId w:val="51"/>
      </w:numPr>
    </w:pPr>
  </w:style>
  <w:style w:type="numbering" w:customStyle="1" w:styleId="WWNum51">
    <w:name w:val="WWNum51"/>
    <w:basedOn w:val="Bezlisty"/>
    <w:pPr>
      <w:numPr>
        <w:numId w:val="52"/>
      </w:numPr>
    </w:pPr>
  </w:style>
  <w:style w:type="numbering" w:customStyle="1" w:styleId="WWNum52">
    <w:name w:val="WWNum52"/>
    <w:basedOn w:val="Bezlisty"/>
    <w:pPr>
      <w:numPr>
        <w:numId w:val="53"/>
      </w:numPr>
    </w:pPr>
  </w:style>
  <w:style w:type="numbering" w:customStyle="1" w:styleId="WWNum53">
    <w:name w:val="WWNum53"/>
    <w:basedOn w:val="Bezlisty"/>
    <w:pPr>
      <w:numPr>
        <w:numId w:val="54"/>
      </w:numPr>
    </w:pPr>
  </w:style>
  <w:style w:type="numbering" w:customStyle="1" w:styleId="WWNum54">
    <w:name w:val="WWNum54"/>
    <w:basedOn w:val="Bezlisty"/>
    <w:pPr>
      <w:numPr>
        <w:numId w:val="55"/>
      </w:numPr>
    </w:pPr>
  </w:style>
  <w:style w:type="numbering" w:customStyle="1" w:styleId="WWNum55">
    <w:name w:val="WWNum55"/>
    <w:basedOn w:val="Bezlisty"/>
    <w:pPr>
      <w:numPr>
        <w:numId w:val="56"/>
      </w:numPr>
    </w:pPr>
  </w:style>
  <w:style w:type="numbering" w:customStyle="1" w:styleId="WWNum56">
    <w:name w:val="WWNum56"/>
    <w:basedOn w:val="Bezlisty"/>
    <w:pPr>
      <w:numPr>
        <w:numId w:val="57"/>
      </w:numPr>
    </w:pPr>
  </w:style>
  <w:style w:type="numbering" w:customStyle="1" w:styleId="WWNum57">
    <w:name w:val="WWNum57"/>
    <w:basedOn w:val="Bezlisty"/>
    <w:pPr>
      <w:numPr>
        <w:numId w:val="5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1510</Words>
  <Characters>9062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Grzechu</dc:creator>
  <cp:lastModifiedBy>Grzechu</cp:lastModifiedBy>
  <cp:revision>2</cp:revision>
  <dcterms:created xsi:type="dcterms:W3CDTF">2025-08-31T10:22:00Z</dcterms:created>
  <dcterms:modified xsi:type="dcterms:W3CDTF">2025-08-31T10:22:00Z</dcterms:modified>
</cp:coreProperties>
</file>