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A02" w:rsidRDefault="00E8776C">
      <w:pPr>
        <w:pStyle w:val="Standard"/>
        <w:spacing w:line="120" w:lineRule="atLeast"/>
        <w:jc w:val="center"/>
        <w:rPr>
          <w:rFonts w:hint="eastAsia"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Przedmiotowy</w:t>
      </w:r>
      <w:r>
        <w:rPr>
          <w:sz w:val="40"/>
          <w:szCs w:val="40"/>
        </w:rPr>
        <w:t xml:space="preserve"> systemu oceniania </w:t>
      </w:r>
      <w:r>
        <w:rPr>
          <w:sz w:val="40"/>
          <w:szCs w:val="40"/>
        </w:rPr>
        <w:br/>
      </w:r>
      <w:r>
        <w:rPr>
          <w:sz w:val="40"/>
          <w:szCs w:val="40"/>
        </w:rPr>
        <w:t>wraz z określeniem wymagań edukacyjnych</w:t>
      </w:r>
    </w:p>
    <w:p w:rsidR="00D93A02" w:rsidRDefault="00E8776C">
      <w:pPr>
        <w:pStyle w:val="StronaTytuowaTytu"/>
        <w:spacing w:line="120" w:lineRule="atLeast"/>
      </w:pPr>
      <w:r>
        <w:t>MATeMAtyka</w:t>
      </w:r>
    </w:p>
    <w:p w:rsidR="00D93A02" w:rsidRDefault="00E8776C">
      <w:pPr>
        <w:pStyle w:val="StronaTytuowaTytu"/>
        <w:spacing w:line="120" w:lineRule="atLeast"/>
        <w:rPr>
          <w:sz w:val="44"/>
          <w:szCs w:val="44"/>
        </w:rPr>
      </w:pPr>
      <w:r>
        <w:rPr>
          <w:sz w:val="44"/>
          <w:szCs w:val="44"/>
        </w:rPr>
        <w:t>Zakres podstawowy</w:t>
      </w: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D93A02">
      <w:pPr>
        <w:pStyle w:val="Standard"/>
        <w:rPr>
          <w:rFonts w:hint="eastAsia"/>
        </w:rPr>
      </w:pPr>
    </w:p>
    <w:p w:rsidR="00D93A02" w:rsidRDefault="00E8776C">
      <w:pPr>
        <w:pStyle w:val="Textbodyindent"/>
        <w:pageBreakBefore/>
        <w:spacing w:line="120" w:lineRule="atLeast"/>
        <w:ind w:left="0"/>
        <w:jc w:val="both"/>
        <w:rPr>
          <w:rFonts w:hint="eastAsia"/>
        </w:rPr>
      </w:pPr>
      <w:r>
        <w:rPr>
          <w:rFonts w:ascii="Cambria" w:eastAsia="Calibri" w:hAnsi="Cambria"/>
          <w:iCs/>
          <w:sz w:val="22"/>
          <w:szCs w:val="22"/>
          <w:lang w:eastAsia="en-US"/>
        </w:rPr>
        <w:lastRenderedPageBreak/>
        <w:t>Wyróżnione zostały następujące wymagania programowe: konieczne (K), podstawowe (P), rozszerzające (R), dopełniające (D) i wykraczające</w:t>
      </w:r>
      <w:r>
        <w:rPr>
          <w:rFonts w:ascii="Cambria" w:eastAsia="Calibri" w:hAnsi="Cambria"/>
          <w:iCs/>
          <w:sz w:val="22"/>
          <w:szCs w:val="22"/>
          <w:lang w:eastAsia="en-US"/>
        </w:rPr>
        <w:t xml:space="preserve"> (W). Wymienione poziomy wymagań odpowiadają w przybliżeniu ocenom szkolnym. Nauczyciel, określając te poziomy, powinien zatem sprecyzować, czy opanowania pewnych czynności lub wiedzy będzie wymagał na ocenę dopuszczającą (2), dostateczną (3), dobrą (4), b</w:t>
      </w:r>
      <w:r>
        <w:rPr>
          <w:rFonts w:ascii="Cambria" w:eastAsia="Calibri" w:hAnsi="Cambria"/>
          <w:iCs/>
          <w:sz w:val="22"/>
          <w:szCs w:val="22"/>
          <w:lang w:eastAsia="en-US"/>
        </w:rPr>
        <w:t>ardzo dobrą (5) lub celującą (6).</w:t>
      </w:r>
    </w:p>
    <w:p w:rsidR="00D93A02" w:rsidRDefault="00D93A02">
      <w:pPr>
        <w:pStyle w:val="Standard"/>
        <w:spacing w:line="120" w:lineRule="atLeast"/>
        <w:jc w:val="both"/>
        <w:rPr>
          <w:rFonts w:ascii="Cambria" w:hAnsi="Cambria"/>
          <w:sz w:val="22"/>
          <w:szCs w:val="22"/>
        </w:rPr>
      </w:pPr>
    </w:p>
    <w:p w:rsidR="00D93A02" w:rsidRDefault="00E8776C">
      <w:pPr>
        <w:pStyle w:val="Standard"/>
        <w:numPr>
          <w:ilvl w:val="0"/>
          <w:numId w:val="59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konieczne (K)</w:t>
      </w:r>
      <w:r>
        <w:rPr>
          <w:rFonts w:ascii="Cambria" w:hAnsi="Cambria"/>
          <w:sz w:val="22"/>
          <w:szCs w:val="22"/>
        </w:rPr>
        <w:t xml:space="preserve"> dotyczą zagadnień elementarnych, stanowiących swego rodzaju podstawę, zatem powinny być opanowane przez każdego ucznia.</w:t>
      </w:r>
    </w:p>
    <w:p w:rsidR="00D93A02" w:rsidRDefault="00E8776C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podstawowe (P)</w:t>
      </w:r>
      <w:r>
        <w:rPr>
          <w:rFonts w:ascii="Cambria" w:hAnsi="Cambria"/>
          <w:sz w:val="22"/>
          <w:szCs w:val="22"/>
        </w:rPr>
        <w:t xml:space="preserve"> zawierają wymagania z poziomu (K) wzbogacone 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sz w:val="22"/>
          <w:szCs w:val="22"/>
        </w:rPr>
        <w:t>o typo</w:t>
      </w:r>
      <w:r>
        <w:rPr>
          <w:rFonts w:ascii="Cambria" w:hAnsi="Cambria"/>
          <w:sz w:val="22"/>
          <w:szCs w:val="22"/>
        </w:rPr>
        <w:t>we problemy o niewielkim stopniu trudności.</w:t>
      </w:r>
    </w:p>
    <w:p w:rsidR="00D93A02" w:rsidRDefault="00E8776C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rozszerzające (R)</w:t>
      </w:r>
      <w:r>
        <w:rPr>
          <w:rFonts w:ascii="Cambria" w:hAnsi="Cambria"/>
          <w:sz w:val="22"/>
          <w:szCs w:val="22"/>
        </w:rPr>
        <w:t>, zawierające wymagania z poziomów (K) i (P), dotyczą zagadnień bardziej złożonych i nieco trudniejszych.</w:t>
      </w:r>
    </w:p>
    <w:p w:rsidR="00D93A02" w:rsidRDefault="00E8776C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dopełniające (D)</w:t>
      </w:r>
      <w:r>
        <w:rPr>
          <w:rFonts w:ascii="Cambria" w:hAnsi="Cambria"/>
          <w:sz w:val="22"/>
          <w:szCs w:val="22"/>
        </w:rPr>
        <w:t>, zawierające wymagania z poziomów (K), (P) i (R), do</w:t>
      </w:r>
      <w:r>
        <w:rPr>
          <w:rFonts w:ascii="Cambria" w:hAnsi="Cambria"/>
          <w:sz w:val="22"/>
          <w:szCs w:val="22"/>
        </w:rPr>
        <w:t>tyczą zagadnień problemowych, trudniejszych, wymagających umiejętności przetwarzania przyswojonych informacji.</w:t>
      </w:r>
    </w:p>
    <w:p w:rsidR="00D93A02" w:rsidRDefault="00E8776C">
      <w:pPr>
        <w:pStyle w:val="Standard"/>
        <w:numPr>
          <w:ilvl w:val="0"/>
          <w:numId w:val="14"/>
        </w:numPr>
        <w:tabs>
          <w:tab w:val="left" w:pos="720"/>
        </w:tabs>
        <w:spacing w:line="120" w:lineRule="atLeast"/>
        <w:jc w:val="both"/>
        <w:rPr>
          <w:rFonts w:hint="eastAsia"/>
        </w:rPr>
      </w:pPr>
      <w:r>
        <w:rPr>
          <w:rFonts w:ascii="Cambria" w:hAnsi="Cambria"/>
          <w:sz w:val="22"/>
          <w:szCs w:val="22"/>
        </w:rPr>
        <w:t xml:space="preserve">Wymagania </w:t>
      </w:r>
      <w:r>
        <w:rPr>
          <w:rFonts w:ascii="Cambria" w:hAnsi="Cambria"/>
          <w:b/>
          <w:sz w:val="22"/>
          <w:szCs w:val="22"/>
        </w:rPr>
        <w:t>wykraczające (W)</w:t>
      </w:r>
      <w:r>
        <w:rPr>
          <w:rFonts w:ascii="Cambria" w:hAnsi="Cambria"/>
          <w:sz w:val="22"/>
          <w:szCs w:val="22"/>
        </w:rPr>
        <w:t xml:space="preserve"> dotyczą zagadnień trudnych i oryginalnych.</w:t>
      </w:r>
    </w:p>
    <w:p w:rsidR="00D93A02" w:rsidRDefault="00D93A02">
      <w:pPr>
        <w:pStyle w:val="Standard"/>
        <w:spacing w:line="120" w:lineRule="atLeast"/>
        <w:ind w:left="360"/>
        <w:jc w:val="both"/>
        <w:rPr>
          <w:rFonts w:ascii="Cambria" w:hAnsi="Cambria"/>
          <w:sz w:val="22"/>
          <w:szCs w:val="22"/>
        </w:rPr>
      </w:pPr>
    </w:p>
    <w:p w:rsidR="00D93A02" w:rsidRDefault="00E8776C">
      <w:pPr>
        <w:pStyle w:val="Standard"/>
        <w:spacing w:after="120" w:line="120" w:lineRule="atLeast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Poniżej przedstawiony został podział wymagań na poszczególne oceny </w:t>
      </w:r>
      <w:r>
        <w:rPr>
          <w:rFonts w:ascii="Cambria" w:hAnsi="Cambria"/>
          <w:sz w:val="22"/>
          <w:szCs w:val="22"/>
        </w:rPr>
        <w:t>szkolne:</w:t>
      </w:r>
    </w:p>
    <w:p w:rsidR="00D93A02" w:rsidRDefault="00E8776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dopuszczająca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</w:t>
      </w:r>
    </w:p>
    <w:p w:rsidR="00D93A02" w:rsidRDefault="00E8776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dostateczna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 i (P)</w:t>
      </w:r>
    </w:p>
    <w:p w:rsidR="00D93A02" w:rsidRDefault="00E8776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 i (R)</w:t>
      </w:r>
    </w:p>
    <w:p w:rsidR="00D93A02" w:rsidRDefault="00E8776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bardzo dobra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na poziomie (K), (P), (R) i (D)</w:t>
      </w:r>
    </w:p>
    <w:p w:rsidR="00D93A02" w:rsidRDefault="00E8776C">
      <w:pPr>
        <w:pStyle w:val="Standard"/>
        <w:tabs>
          <w:tab w:val="left" w:pos="2880"/>
          <w:tab w:val="left" w:pos="3240"/>
        </w:tabs>
        <w:spacing w:line="120" w:lineRule="atLeast"/>
        <w:ind w:firstLine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ocena celująca</w:t>
      </w:r>
      <w:r>
        <w:rPr>
          <w:rFonts w:ascii="Cambria" w:hAnsi="Cambria"/>
          <w:sz w:val="22"/>
          <w:szCs w:val="22"/>
        </w:rPr>
        <w:tab/>
        <w:t xml:space="preserve">– </w:t>
      </w:r>
      <w:r>
        <w:rPr>
          <w:rFonts w:ascii="Cambria" w:hAnsi="Cambria"/>
          <w:sz w:val="22"/>
          <w:szCs w:val="22"/>
        </w:rPr>
        <w:tab/>
        <w:t>wymagania n</w:t>
      </w:r>
      <w:r>
        <w:rPr>
          <w:rFonts w:ascii="Cambria" w:hAnsi="Cambria"/>
          <w:sz w:val="22"/>
          <w:szCs w:val="22"/>
        </w:rPr>
        <w:t>a poziomie (K), (P), (R), (D) i (W)</w:t>
      </w:r>
    </w:p>
    <w:p w:rsidR="00D93A02" w:rsidRDefault="00D93A02">
      <w:pPr>
        <w:pStyle w:val="Standard"/>
        <w:spacing w:line="120" w:lineRule="atLeast"/>
        <w:ind w:left="360"/>
        <w:jc w:val="both"/>
        <w:rPr>
          <w:rFonts w:hint="eastAsia"/>
        </w:rPr>
      </w:pPr>
    </w:p>
    <w:p w:rsidR="00D93A02" w:rsidRDefault="00D93A02">
      <w:pPr>
        <w:pStyle w:val="Standard"/>
        <w:spacing w:line="120" w:lineRule="atLeast"/>
        <w:jc w:val="both"/>
        <w:rPr>
          <w:rFonts w:hint="eastAsia"/>
        </w:rPr>
      </w:pPr>
    </w:p>
    <w:p w:rsidR="00D93A02" w:rsidRDefault="00E8776C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  <w:r>
        <w:rPr>
          <w:rFonts w:ascii="Cambria" w:hAnsi="Cambria"/>
          <w:color w:val="0066B3"/>
          <w:sz w:val="22"/>
          <w:szCs w:val="22"/>
        </w:rPr>
        <w:t>KLASA IV</w:t>
      </w:r>
    </w:p>
    <w:p w:rsidR="00D93A02" w:rsidRDefault="00D93A02">
      <w:pPr>
        <w:pStyle w:val="Standard"/>
        <w:spacing w:line="120" w:lineRule="atLeast"/>
        <w:jc w:val="both"/>
        <w:rPr>
          <w:rFonts w:ascii="Cambria" w:hAnsi="Cambria"/>
          <w:color w:val="0066B3"/>
          <w:sz w:val="22"/>
          <w:szCs w:val="22"/>
        </w:rPr>
      </w:pPr>
    </w:p>
    <w:p w:rsidR="00D93A02" w:rsidRDefault="00E8776C">
      <w:pPr>
        <w:pStyle w:val="Nagwek1"/>
        <w:rPr>
          <w:rFonts w:hint="eastAsia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13. FUNKCJA WYKŁADNICZA I FUNKCJA LOGARYTMICZNA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sz w:val="22"/>
          <w:szCs w:val="22"/>
        </w:rPr>
        <w:t xml:space="preserve"> (P)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60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zapisuje daną liczbę w postaci potęgi o wykładniku wymiernym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potęgi o wykładnikach wymiernych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zapisuje daną liczbę w postaci potęgi o podanej podstawie i wykładniku rzeczywistym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upraszcza wyrażenia, stosując twierdzenia o działaniach na potęgach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wartości danej funkcji wykładniczej dla podanych argumentów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podany punkt należy do wykresu danej funkcji wykładniczej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funkcj</w:t>
            </w:r>
            <w:r>
              <w:rPr>
                <w:sz w:val="22"/>
                <w:szCs w:val="22"/>
              </w:rPr>
              <w:t>i wykładniczej na podstawie współrzędnych punktu należącego do jej wykresu oraz szkicuje ten wykres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 funkcji wykładniczej i podaje jej własności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 funkcji, stosując przesunięcie wykresu odpowiedniej funkcji wykładniczej wzdł</w:t>
            </w:r>
            <w:r>
              <w:rPr>
                <w:sz w:val="22"/>
                <w:szCs w:val="22"/>
              </w:rPr>
              <w:t>uż osi układu współrzędnych i podaje jej własności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logarytm danej liczby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równości wynikające z definicji logarytmu – do prostych obliczeń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odczytuje z tablic przybliżone wartości logarytmów dziesiętnych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stosuje twierdzenia o logarytmie </w:t>
            </w:r>
            <w:r>
              <w:rPr>
                <w:sz w:val="22"/>
                <w:szCs w:val="22"/>
              </w:rPr>
              <w:t>iloczynu, ilorazu oraz potęgi do obliczania wartości wyrażeń z logarytmami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 funkcji logarytmicznej i określa jej własności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funkcji logarytmicznej, gdy dane są współrzędne punktu należącego do jej wykr</w:t>
            </w:r>
            <w:r>
              <w:rPr>
                <w:sz w:val="22"/>
                <w:szCs w:val="22"/>
              </w:rPr>
              <w:t>esu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zbiór wartości funkcji logarytmicznej o podanej dziedzinie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szkicuje wykres funkcji, stosując przesunięcie wykresu odpowiedniej funkcji logarytmicznej wzdłuż osi układu współrzędnych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osadzone w ko</w:t>
            </w:r>
            <w:r>
              <w:rPr>
                <w:sz w:val="22"/>
                <w:szCs w:val="22"/>
              </w:rPr>
              <w:t>ntekście praktycznym, korzystając z własności funkcji wykładniczej lub funkcji logarytmicznej – w prostych przypadkach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(D)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upraszcza wyrażenia, </w:t>
            </w:r>
            <w:r>
              <w:rPr>
                <w:sz w:val="22"/>
                <w:szCs w:val="22"/>
              </w:rPr>
              <w:t>stosując twierdzenia o działaniach na potęgach – w trudniejszych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porównuje liczby przedstawione w postaci potęg, korzystając z monotoniczności funkcji wykładniczej – w trudniejszych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odczytuje z wykresu funkcji wykładniczej zbiór </w:t>
            </w:r>
            <w:r>
              <w:rPr>
                <w:sz w:val="22"/>
                <w:szCs w:val="22"/>
              </w:rPr>
              <w:t>rozwiązań nierówności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wyjaśnia, jak należy przekształcić wykres funkcji, aby otrzymać wykres innej funkcji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podstawę logarytmu lub liczbę logarytmowaną, gdy dana jest wartość logarytmu; podaje odpowiednie założenia dla podstawy logarytmu i </w:t>
            </w:r>
            <w:r>
              <w:rPr>
                <w:sz w:val="22"/>
                <w:szCs w:val="22"/>
              </w:rPr>
              <w:t>liczby logarytmowanej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twierdzenie o logarytmie iloczynu, ilorazu i potęgi do uzasadniania równości wyrażeń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odczytuje z wykresu funkcji logarytmicznej zbiór rozwiązań nierówności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własności funkcji wykładniczej i logarytmicznej do ro</w:t>
            </w:r>
            <w:r>
              <w:rPr>
                <w:sz w:val="22"/>
                <w:szCs w:val="22"/>
              </w:rPr>
              <w:t>związywania zadań osadzonych w kontekście praktycznym, np. dotyczących wzrostu wykładniczego i rozpadu promieniotwórczego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dotyczące monotoniczności funkcji logarytmicznej, w tym zadania z parametrem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udowadnia twierdzenie dotyczące niew</w:t>
            </w:r>
            <w:r>
              <w:rPr>
                <w:sz w:val="22"/>
                <w:szCs w:val="22"/>
              </w:rPr>
              <w:t xml:space="preserve">ymierności liczby, </w:t>
            </w:r>
            <w:r>
              <w:rPr>
                <w:bCs/>
                <w:sz w:val="22"/>
                <w:szCs w:val="22"/>
              </w:rPr>
              <w:t xml:space="preserve">np.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3</m:t>
              </m:r>
            </m:oMath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sz w:val="22"/>
          <w:szCs w:val="22"/>
        </w:rPr>
        <w:t xml:space="preserve"> (W)</w:t>
      </w:r>
    </w:p>
    <w:p w:rsidR="00D93A02" w:rsidRDefault="00E8776C">
      <w:pPr>
        <w:pStyle w:val="Standard"/>
        <w:rPr>
          <w:rFonts w:hint="eastAsia"/>
        </w:rPr>
      </w:pPr>
      <w:r>
        <w:rPr>
          <w:color w:val="000000"/>
          <w:sz w:val="22"/>
          <w:szCs w:val="22"/>
        </w:rPr>
        <w:t xml:space="preserve">Uczeń otrzymuje ocenę </w:t>
      </w:r>
      <w:r>
        <w:rPr>
          <w:b/>
          <w:color w:val="000000"/>
          <w:sz w:val="22"/>
          <w:szCs w:val="22"/>
        </w:rPr>
        <w:t>celującą</w:t>
      </w:r>
      <w:r>
        <w:rPr>
          <w:color w:val="000000"/>
          <w:sz w:val="22"/>
          <w:szCs w:val="22"/>
        </w:rPr>
        <w:t>, jeśli opanował wiedzę i umiejętności z poziomów (K) –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rozwiązuje zadania o znacznym stopniu trudności dotyczące funkcji wykładniczej i logarytmicznej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5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udowadnia twierdzenia o </w:t>
            </w:r>
            <w:r>
              <w:rPr>
                <w:color w:val="000000"/>
                <w:sz w:val="22"/>
                <w:szCs w:val="22"/>
              </w:rPr>
              <w:t>działaniach na logarytmach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Standard"/>
        <w:rPr>
          <w:rFonts w:hint="eastAsia"/>
        </w:rPr>
      </w:pPr>
      <w:r>
        <w:rPr>
          <w:b/>
          <w:sz w:val="22"/>
          <w:szCs w:val="22"/>
        </w:rPr>
        <w:t>14. GEOMETRIA ANALITYCZNA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sz w:val="22"/>
          <w:szCs w:val="22"/>
        </w:rPr>
        <w:t xml:space="preserve"> (P)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61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odległość punktów w układzie współrzędnych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wzór na odległość punktów w zadaniach dotyczących wielokątów</w:t>
            </w:r>
            <w:r>
              <w:rPr>
                <w:sz w:val="22"/>
                <w:szCs w:val="22"/>
              </w:rPr>
              <w:t xml:space="preserve">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współrzędne środka odcinka, gdy dane są współrzędne jego końców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>stosuje wzory na współrzędne środka odcinka do rozwiązywania</w:t>
            </w:r>
            <w:r>
              <w:rPr>
                <w:strike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zadań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równanie okręgu o danych środku i promieniu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współrzędne środka i promień okręgu, korzystając z postaci kanonicznej równania okręgu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równanie okręgu o danym środku, przechodzącego przez dany punkt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punkt należy do danego okręgu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rozpoznaje figury osiowosymetryczne i środkowosymetryczne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współrzędne obrazów punktów w symetrii osiowej względem osi układu współrzędnych lub symetrii środkowej względem początku układu </w:t>
            </w:r>
            <w:r>
              <w:rPr>
                <w:sz w:val="22"/>
                <w:szCs w:val="22"/>
              </w:rPr>
              <w:t>współrzędnych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(D)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wzory na odległość między punktami i środek odcinka do rozwiązywania zadań dotyczących wielokątów – w trudniejszych pr</w:t>
            </w:r>
            <w:r>
              <w:rPr>
                <w:sz w:val="22"/>
                <w:szCs w:val="22"/>
              </w:rPr>
              <w:t>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stosuje w zadaniach równanie okręgu– w bardziej złożonych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6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symetrii osiowej i symetrii środkowej – w trudniejszych przypadkach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sz w:val="22"/>
          <w:szCs w:val="22"/>
        </w:rPr>
        <w:t xml:space="preserve"> (W)</w:t>
      </w:r>
    </w:p>
    <w:p w:rsidR="00D93A02" w:rsidRDefault="00E8776C">
      <w:pPr>
        <w:pStyle w:val="Standard"/>
        <w:rPr>
          <w:rFonts w:hint="eastAsia"/>
        </w:rPr>
      </w:pPr>
      <w:r>
        <w:rPr>
          <w:color w:val="000000"/>
          <w:sz w:val="22"/>
          <w:szCs w:val="22"/>
        </w:rPr>
        <w:t xml:space="preserve">Uczeń otrzymuje ocenę </w:t>
      </w:r>
      <w:r>
        <w:rPr>
          <w:b/>
          <w:color w:val="000000"/>
          <w:sz w:val="22"/>
          <w:szCs w:val="22"/>
        </w:rPr>
        <w:t>celującą</w:t>
      </w:r>
      <w:r>
        <w:rPr>
          <w:color w:val="000000"/>
          <w:sz w:val="22"/>
          <w:szCs w:val="22"/>
        </w:rPr>
        <w:t xml:space="preserve">, jeśli opanował wiedzę i umiejętności z </w:t>
      </w:r>
      <w:r>
        <w:rPr>
          <w:sz w:val="22"/>
          <w:szCs w:val="22"/>
        </w:rPr>
        <w:t>poziomów (K)–(D) oraz: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9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z geometrii analitycznej – o znacznym stopniu trudności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Nagwek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15. CIĄGI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sz w:val="22"/>
          <w:szCs w:val="22"/>
        </w:rPr>
        <w:t xml:space="preserve"> (P)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6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kolejne wyrazy ciągu, gdy danych jest kilka jego początkowych wyrazów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wyrazy ciągu opisanego słownie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szkicuje wykres ciągu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ogólny ciągu, gdy danych jest kil</w:t>
            </w:r>
            <w:r>
              <w:rPr>
                <w:sz w:val="22"/>
                <w:szCs w:val="22"/>
              </w:rPr>
              <w:t>ka jego początkowych wyrazów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wskazane wyrazy ciągu określonego wzorem ogólnym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wyrazy ciągu spełniające dany warunek (np. przyjmujące daną wartość) – w 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przykłady ciągów monotonicznych, których wyrazy spełnia</w:t>
            </w:r>
            <w:r>
              <w:rPr>
                <w:sz w:val="22"/>
                <w:szCs w:val="22"/>
              </w:rPr>
              <w:t>ją podane warunki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uzasadnia, że dany ciąg nie jest monotoniczny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wyznacza wyraz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  <m:r>
                    <w:rPr>
                      <w:rFonts w:ascii="Cambria Math" w:hAnsi="Cambria Math"/>
                    </w:rPr>
                    <m:t>+1</m:t>
                  </m:r>
                </m:sub>
              </m:sSub>
            </m:oMath>
            <w:r>
              <w:rPr>
                <w:sz w:val="22"/>
                <w:szCs w:val="22"/>
              </w:rPr>
              <w:t>ciągu określonego wzorem ogólnym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bada monotoniczność ciągu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początkowe wyrazy ciągu określonego rekurencyjnie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wzór rekurencyjny </w:t>
            </w:r>
            <w:r>
              <w:rPr>
                <w:sz w:val="22"/>
                <w:szCs w:val="22"/>
              </w:rPr>
              <w:t>ciągu, mając dany wzór ogólny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podaje przykłady ciągów arytmetycznych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wyrazy ciągu arytmetycznego, gdy dane są jego pierwszy wyraz i różnica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monotoniczność ciągu arytmetycznego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ogólny ciągu aryt</w:t>
            </w:r>
            <w:r>
              <w:rPr>
                <w:sz w:val="22"/>
                <w:szCs w:val="22"/>
              </w:rPr>
              <w:t>metycznego, gdy dane są dwa jego wyrazy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związek między trzema kolejnymi wyrazami ciągu arytmetycznego do wyznaczania wyrazów ciągu arytmetycznego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dany ciąg jest arytmetyczny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 xml:space="preserve">oblicza sumę </w:t>
            </w:r>
            <w:r>
              <w:rPr>
                <w:i/>
                <w:color w:val="000000"/>
                <w:sz w:val="22"/>
                <w:szCs w:val="22"/>
              </w:rPr>
              <w:t>n</w:t>
            </w:r>
            <w:r>
              <w:rPr>
                <w:color w:val="000000"/>
                <w:sz w:val="22"/>
                <w:szCs w:val="22"/>
              </w:rPr>
              <w:t xml:space="preserve"> początkowych wyrazów ciągu arytmetycznego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podaje przykłady ciągów geometrycznych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wyznacza wyrazy ciągu geometrycznego, gdy dane są jego pierwszy wyraz i iloraz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ogólny ciągu geometrycznego, gdy dane są dwa jego wyrazy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określa monotoniczno</w:t>
            </w:r>
            <w:r>
              <w:rPr>
                <w:sz w:val="22"/>
                <w:szCs w:val="22"/>
              </w:rPr>
              <w:t>ść ciągu geometrycznego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sprawdza, czy dany ciąg jest geometryczny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oblicza sumę 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początkowych wyrazów ciągu geometrycznego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własności ciągu arytmetycznego i ciągu geometrycznego w zadaniach różnego typu – w prostych przyp</w:t>
            </w:r>
            <w:r>
              <w:rPr>
                <w:sz w:val="22"/>
                <w:szCs w:val="22"/>
              </w:rPr>
              <w:t>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wysokość kapitału przy różnych okresach kapitalizacji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oprocentowanie lokaty i okres oszczędzania – w prostych przypadkach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(D)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wzór ogólny ciągu spełniającego podane warunki – w trudniejszych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bada monotoniczność ciągów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wyznacza wzór rekurencyjny ciągu, </w:t>
            </w:r>
            <w:r>
              <w:rPr>
                <w:sz w:val="22"/>
                <w:szCs w:val="22"/>
              </w:rPr>
              <w:t>gdy dany jest jego wzór ogólny  –w trudniejszych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podwyższonym stopniu trudności związane ze wzorem rekurencyjnym ciągu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z parametrem dotyczące monotoniczności ciągu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stosuje własności ciągu arytmetyczn</w:t>
            </w:r>
            <w:r>
              <w:rPr>
                <w:sz w:val="22"/>
                <w:szCs w:val="22"/>
              </w:rPr>
              <w:t>ego oraz wzory na sumę jego wyrazów w zadaniach o podwyższonym stopniu trudności, w tym w zadaniach tekstowych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wyznacza wartości niewiadomych tak, aby wraz z danymi liczbami tworzyły ciąg arytmetyczny lub geometryczny – w prostych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</w:t>
            </w:r>
            <w:r>
              <w:rPr>
                <w:sz w:val="22"/>
                <w:szCs w:val="22"/>
              </w:rPr>
              <w:t>równania z zastosowaniem wzorów na sumę wyrazów ciągu arytmetycznego i geometrycznego – w trudniejszych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stosuje związek między trzema kolejnymi wyrazami ciągu geometrycznego – w zadaniach różnego typu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rozwiązuje zadania związane z lokatami </w:t>
            </w:r>
            <w:r>
              <w:rPr>
                <w:sz w:val="22"/>
                <w:szCs w:val="22"/>
              </w:rPr>
              <w:t>dotyczące okresu oszczędzania, wysokości oprocentowania oraz zadania związane z kredytami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stosuje w zadaniach własności ciągów arytmetycznego i geometrycznego, w tym wzory na sumę </w:t>
            </w:r>
            <w:r>
              <w:rPr>
                <w:i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początkowych wyrazów tych ciągów, również w zadaniach osadzonych w kontek</w:t>
            </w:r>
            <w:r>
              <w:rPr>
                <w:sz w:val="22"/>
                <w:szCs w:val="22"/>
              </w:rPr>
              <w:t>ście praktycznym – w trudniejszych przypadkach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sz w:val="22"/>
          <w:szCs w:val="22"/>
        </w:rPr>
        <w:t xml:space="preserve"> (W)</w:t>
      </w:r>
    </w:p>
    <w:p w:rsidR="00D93A02" w:rsidRDefault="00E8776C">
      <w:pPr>
        <w:pStyle w:val="Standard"/>
        <w:rPr>
          <w:rFonts w:hint="eastAsia"/>
        </w:rPr>
      </w:pPr>
      <w:r>
        <w:rPr>
          <w:color w:val="000000"/>
          <w:sz w:val="22"/>
          <w:szCs w:val="22"/>
        </w:rPr>
        <w:t xml:space="preserve">Uczeń otrzymuje ocenę </w:t>
      </w:r>
      <w:r>
        <w:rPr>
          <w:b/>
          <w:color w:val="000000"/>
          <w:sz w:val="22"/>
          <w:szCs w:val="22"/>
        </w:rPr>
        <w:t>celującą</w:t>
      </w:r>
      <w:r>
        <w:rPr>
          <w:color w:val="000000"/>
          <w:sz w:val="22"/>
          <w:szCs w:val="22"/>
        </w:rPr>
        <w:t>, jeśli opanował wiedzę i umiejętności z poziomów (K) –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2"/>
              </w:numPr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rozwiązuje zadania o podwyższonym stopniu trudności dotyczące ciągów, w szczególności monotonicznośc</w:t>
            </w:r>
            <w:r>
              <w:rPr>
                <w:color w:val="000000"/>
                <w:sz w:val="22"/>
                <w:szCs w:val="22"/>
              </w:rPr>
              <w:t>i ciągu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Nagwek1"/>
        <w:rPr>
          <w:rFonts w:hint="eastAsia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16. STATYSTYKA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 xml:space="preserve">(K) </w:t>
      </w:r>
      <w:r>
        <w:rPr>
          <w:sz w:val="22"/>
          <w:szCs w:val="22"/>
        </w:rPr>
        <w:t>lub</w:t>
      </w:r>
      <w:r>
        <w:rPr>
          <w:b/>
          <w:sz w:val="22"/>
          <w:szCs w:val="22"/>
        </w:rPr>
        <w:t xml:space="preserve"> (P)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 xml:space="preserve">dopuszczającą </w:t>
      </w:r>
      <w:r>
        <w:rPr>
          <w:sz w:val="22"/>
          <w:szCs w:val="22"/>
        </w:rPr>
        <w:t xml:space="preserve">lub </w:t>
      </w:r>
      <w:r>
        <w:rPr>
          <w:b/>
          <w:sz w:val="22"/>
          <w:szCs w:val="22"/>
        </w:rPr>
        <w:t>dostateczną</w:t>
      </w:r>
      <w:r>
        <w:rPr>
          <w:sz w:val="22"/>
          <w:szCs w:val="22"/>
        </w:rPr>
        <w:t>, jeśli: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64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średnią arytmetyczną, wyznacza medianę i dominantę zestawu danych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średnią ważoną liczb z podanymi wagami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Poziom </w:t>
      </w:r>
      <w:r>
        <w:rPr>
          <w:b/>
          <w:sz w:val="22"/>
          <w:szCs w:val="22"/>
        </w:rPr>
        <w:t>(R)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(D)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dobrą</w:t>
      </w:r>
      <w:r>
        <w:rPr>
          <w:sz w:val="22"/>
          <w:szCs w:val="22"/>
        </w:rPr>
        <w:t xml:space="preserve"> lub </w:t>
      </w:r>
      <w:r>
        <w:rPr>
          <w:b/>
          <w:sz w:val="22"/>
          <w:szCs w:val="22"/>
        </w:rPr>
        <w:t>bardzo dobrą</w:t>
      </w:r>
      <w:r>
        <w:rPr>
          <w:sz w:val="22"/>
          <w:szCs w:val="22"/>
        </w:rPr>
        <w:t>, jeśli opanował poziomy (K) i (P) oraz dodatkowo: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średnią arytmetyczną, wyznacza medianę i dominantę danych przedstawionych różnymi sposobami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wykorzystuje w zadaniach średnią arytmetyczną, medianę, dominantę i średnią ważoną – w </w:t>
            </w:r>
            <w:r>
              <w:rPr>
                <w:sz w:val="22"/>
                <w:szCs w:val="22"/>
              </w:rPr>
              <w:t>trudniejszych przypadkach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oblicza średnią arytmetyczną, wyznacza medianę i dominantę danych pogrupowanych różnymi sposobami</w:t>
            </w:r>
          </w:p>
        </w:tc>
      </w:tr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dotyczące statystyki – w trudniejszych przypadkach</w:t>
            </w:r>
          </w:p>
        </w:tc>
      </w:tr>
    </w:tbl>
    <w:p w:rsidR="00D93A02" w:rsidRDefault="00D93A02">
      <w:pPr>
        <w:pStyle w:val="Standard"/>
        <w:rPr>
          <w:rFonts w:hint="eastAsia"/>
          <w:sz w:val="22"/>
          <w:szCs w:val="22"/>
        </w:rPr>
      </w:pP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>Poziom</w:t>
      </w:r>
      <w:r>
        <w:rPr>
          <w:b/>
          <w:sz w:val="22"/>
          <w:szCs w:val="22"/>
        </w:rPr>
        <w:t xml:space="preserve"> (W)</w:t>
      </w:r>
    </w:p>
    <w:p w:rsidR="00D93A02" w:rsidRDefault="00E8776C">
      <w:pPr>
        <w:pStyle w:val="Standard"/>
        <w:rPr>
          <w:rFonts w:hint="eastAsia"/>
        </w:rPr>
      </w:pPr>
      <w:r>
        <w:rPr>
          <w:sz w:val="22"/>
          <w:szCs w:val="22"/>
        </w:rPr>
        <w:t xml:space="preserve">Uczeń otrzymuje ocenę </w:t>
      </w:r>
      <w:r>
        <w:rPr>
          <w:b/>
          <w:sz w:val="22"/>
          <w:szCs w:val="22"/>
        </w:rPr>
        <w:t>celującą</w:t>
      </w:r>
      <w:r>
        <w:rPr>
          <w:sz w:val="22"/>
          <w:szCs w:val="22"/>
        </w:rPr>
        <w:t>, jeśli opanował</w:t>
      </w:r>
      <w:r>
        <w:rPr>
          <w:sz w:val="22"/>
          <w:szCs w:val="22"/>
        </w:rPr>
        <w:t xml:space="preserve"> wiedzę i umiejętności z poziomów (K) – (D) oraz: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93A02">
        <w:tblPrEx>
          <w:tblCellMar>
            <w:top w:w="0" w:type="dxa"/>
            <w:bottom w:w="0" w:type="dxa"/>
          </w:tblCellMar>
        </w:tblPrEx>
        <w:tc>
          <w:tcPr>
            <w:tcW w:w="90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93A02" w:rsidRDefault="00E8776C">
            <w:pPr>
              <w:pStyle w:val="Standard"/>
              <w:numPr>
                <w:ilvl w:val="0"/>
                <w:numId w:val="3"/>
              </w:num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rozwiązuje zadania o znacznym stopniu trudności dotyczące statystyki</w:t>
            </w:r>
          </w:p>
        </w:tc>
      </w:tr>
    </w:tbl>
    <w:p w:rsidR="00D93A02" w:rsidRDefault="00D93A02">
      <w:pPr>
        <w:pStyle w:val="Standard"/>
        <w:spacing w:line="120" w:lineRule="atLeast"/>
        <w:jc w:val="both"/>
        <w:rPr>
          <w:rFonts w:hint="eastAsia"/>
        </w:rPr>
      </w:pPr>
    </w:p>
    <w:p w:rsidR="00D93A02" w:rsidRDefault="00D93A02">
      <w:pPr>
        <w:pStyle w:val="Standard"/>
        <w:jc w:val="both"/>
        <w:rPr>
          <w:rFonts w:hint="eastAsia"/>
          <w:color w:val="000000"/>
          <w:sz w:val="22"/>
          <w:szCs w:val="22"/>
        </w:rPr>
      </w:pPr>
    </w:p>
    <w:p w:rsidR="00D93A02" w:rsidRDefault="00D93A02">
      <w:pPr>
        <w:pStyle w:val="Textbody"/>
        <w:spacing w:line="120" w:lineRule="atLeast"/>
        <w:jc w:val="both"/>
        <w:rPr>
          <w:rFonts w:hint="eastAsia"/>
          <w:sz w:val="22"/>
          <w:szCs w:val="22"/>
        </w:rPr>
      </w:pPr>
    </w:p>
    <w:sectPr w:rsidR="00D93A0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8776C">
      <w:pPr>
        <w:rPr>
          <w:rFonts w:hint="eastAsia"/>
        </w:rPr>
      </w:pPr>
      <w:r>
        <w:separator/>
      </w:r>
    </w:p>
  </w:endnote>
  <w:endnote w:type="continuationSeparator" w:id="0">
    <w:p w:rsidR="00000000" w:rsidRDefault="00E877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8776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E8776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1A1"/>
    <w:multiLevelType w:val="multilevel"/>
    <w:tmpl w:val="BBDA451C"/>
    <w:styleLink w:val="WWNum47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AE658E"/>
    <w:multiLevelType w:val="multilevel"/>
    <w:tmpl w:val="961421FC"/>
    <w:styleLink w:val="WWNum53"/>
    <w:lvl w:ilvl="0"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480AF6"/>
    <w:multiLevelType w:val="multilevel"/>
    <w:tmpl w:val="7228E304"/>
    <w:styleLink w:val="WWNum43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E364EDA"/>
    <w:multiLevelType w:val="multilevel"/>
    <w:tmpl w:val="A21A712C"/>
    <w:styleLink w:val="WWNum5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543608"/>
    <w:multiLevelType w:val="multilevel"/>
    <w:tmpl w:val="1CDEB13A"/>
    <w:styleLink w:val="WWNum2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" w15:restartNumberingAfterBreak="0">
    <w:nsid w:val="11AE0601"/>
    <w:multiLevelType w:val="multilevel"/>
    <w:tmpl w:val="1DA004C0"/>
    <w:styleLink w:val="WWNum5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2AE5194"/>
    <w:multiLevelType w:val="multilevel"/>
    <w:tmpl w:val="D66C9914"/>
    <w:styleLink w:val="WWNum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A75ECF"/>
    <w:multiLevelType w:val="multilevel"/>
    <w:tmpl w:val="FD58E40C"/>
    <w:styleLink w:val="WWNum3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8" w15:restartNumberingAfterBreak="0">
    <w:nsid w:val="15D00BC5"/>
    <w:multiLevelType w:val="multilevel"/>
    <w:tmpl w:val="71FAFFA0"/>
    <w:styleLink w:val="WWNum3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9" w15:restartNumberingAfterBreak="0">
    <w:nsid w:val="18261852"/>
    <w:multiLevelType w:val="multilevel"/>
    <w:tmpl w:val="493E22A2"/>
    <w:styleLink w:val="WWNum2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0" w15:restartNumberingAfterBreak="0">
    <w:nsid w:val="19F04F7C"/>
    <w:multiLevelType w:val="multilevel"/>
    <w:tmpl w:val="04163C5A"/>
    <w:styleLink w:val="WWNum1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1" w15:restartNumberingAfterBreak="0">
    <w:nsid w:val="1C4834B2"/>
    <w:multiLevelType w:val="multilevel"/>
    <w:tmpl w:val="7DF23F60"/>
    <w:styleLink w:val="WWNum1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2" w15:restartNumberingAfterBreak="0">
    <w:nsid w:val="1C4A7400"/>
    <w:multiLevelType w:val="multilevel"/>
    <w:tmpl w:val="CD76C214"/>
    <w:styleLink w:val="WWNum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3" w15:restartNumberingAfterBreak="0">
    <w:nsid w:val="1D271D93"/>
    <w:multiLevelType w:val="multilevel"/>
    <w:tmpl w:val="945E765E"/>
    <w:styleLink w:val="WWNum6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4D243BB"/>
    <w:multiLevelType w:val="multilevel"/>
    <w:tmpl w:val="3940A35E"/>
    <w:styleLink w:val="WWNum2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5" w15:restartNumberingAfterBreak="0">
    <w:nsid w:val="263A2F6E"/>
    <w:multiLevelType w:val="multilevel"/>
    <w:tmpl w:val="A1886630"/>
    <w:styleLink w:val="WWNum3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6" w15:restartNumberingAfterBreak="0">
    <w:nsid w:val="265A74DE"/>
    <w:multiLevelType w:val="multilevel"/>
    <w:tmpl w:val="55B2EBEE"/>
    <w:styleLink w:val="WWNum1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7" w15:restartNumberingAfterBreak="0">
    <w:nsid w:val="26E31EB4"/>
    <w:multiLevelType w:val="multilevel"/>
    <w:tmpl w:val="36802B2A"/>
    <w:styleLink w:val="WWNum2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18" w15:restartNumberingAfterBreak="0">
    <w:nsid w:val="277B429C"/>
    <w:multiLevelType w:val="multilevel"/>
    <w:tmpl w:val="3FCABCD8"/>
    <w:styleLink w:val="WWNum3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78423C0"/>
    <w:multiLevelType w:val="multilevel"/>
    <w:tmpl w:val="77A6949E"/>
    <w:styleLink w:val="WWNum4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A941AE1"/>
    <w:multiLevelType w:val="multilevel"/>
    <w:tmpl w:val="AEF0C19E"/>
    <w:styleLink w:val="WWNum4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C9A3C41"/>
    <w:multiLevelType w:val="multilevel"/>
    <w:tmpl w:val="96DA92D0"/>
    <w:styleLink w:val="WWNum4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4862A5"/>
    <w:multiLevelType w:val="multilevel"/>
    <w:tmpl w:val="5552B43A"/>
    <w:styleLink w:val="WWNum3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32E70889"/>
    <w:multiLevelType w:val="multilevel"/>
    <w:tmpl w:val="255C95E6"/>
    <w:styleLink w:val="WWNum1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4" w15:restartNumberingAfterBreak="0">
    <w:nsid w:val="34991959"/>
    <w:multiLevelType w:val="multilevel"/>
    <w:tmpl w:val="603EA504"/>
    <w:styleLink w:val="WWNum1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5" w15:restartNumberingAfterBreak="0">
    <w:nsid w:val="34FD120D"/>
    <w:multiLevelType w:val="multilevel"/>
    <w:tmpl w:val="695C59A6"/>
    <w:styleLink w:val="WWNum8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35506968"/>
    <w:multiLevelType w:val="multilevel"/>
    <w:tmpl w:val="10B07670"/>
    <w:styleLink w:val="WWNum3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7" w15:restartNumberingAfterBreak="0">
    <w:nsid w:val="3C484809"/>
    <w:multiLevelType w:val="multilevel"/>
    <w:tmpl w:val="66BE0F84"/>
    <w:styleLink w:val="WWNum55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3F4505ED"/>
    <w:multiLevelType w:val="multilevel"/>
    <w:tmpl w:val="F6083546"/>
    <w:styleLink w:val="WWNum2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29" w15:restartNumberingAfterBreak="0">
    <w:nsid w:val="43696606"/>
    <w:multiLevelType w:val="multilevel"/>
    <w:tmpl w:val="9DFAF4C4"/>
    <w:styleLink w:val="WWNum1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0" w15:restartNumberingAfterBreak="0">
    <w:nsid w:val="456F0098"/>
    <w:multiLevelType w:val="multilevel"/>
    <w:tmpl w:val="C7269014"/>
    <w:styleLink w:val="WWNum4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471D76F6"/>
    <w:multiLevelType w:val="multilevel"/>
    <w:tmpl w:val="0A8291F0"/>
    <w:styleLink w:val="WWNum3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7F0171F"/>
    <w:multiLevelType w:val="multilevel"/>
    <w:tmpl w:val="66EAB34E"/>
    <w:styleLink w:val="WWNum11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33" w15:restartNumberingAfterBreak="0">
    <w:nsid w:val="483E3F65"/>
    <w:multiLevelType w:val="multilevel"/>
    <w:tmpl w:val="78E0A454"/>
    <w:styleLink w:val="WWNum3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A2238D4"/>
    <w:multiLevelType w:val="multilevel"/>
    <w:tmpl w:val="D62CDA04"/>
    <w:styleLink w:val="WWNum4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B3A2A89"/>
    <w:multiLevelType w:val="multilevel"/>
    <w:tmpl w:val="E96C6F7C"/>
    <w:styleLink w:val="WWNum7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4B555389"/>
    <w:multiLevelType w:val="multilevel"/>
    <w:tmpl w:val="DA325624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4D16137D"/>
    <w:multiLevelType w:val="multilevel"/>
    <w:tmpl w:val="C8643B3A"/>
    <w:styleLink w:val="WWNum56"/>
    <w:lvl w:ilvl="0">
      <w:numFmt w:val="bullet"/>
      <w:lvlText w:val=""/>
      <w:lvlJc w:val="left"/>
      <w:pPr>
        <w:ind w:left="502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79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36" w:hanging="360"/>
      </w:pPr>
      <w:rPr>
        <w:rFonts w:ascii="Wingdings" w:hAnsi="Wingdings"/>
      </w:rPr>
    </w:lvl>
  </w:abstractNum>
  <w:abstractNum w:abstractNumId="38" w15:restartNumberingAfterBreak="0">
    <w:nsid w:val="4D5A2CEA"/>
    <w:multiLevelType w:val="multilevel"/>
    <w:tmpl w:val="B566B79C"/>
    <w:styleLink w:val="WWNum3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4E89302F"/>
    <w:multiLevelType w:val="multilevel"/>
    <w:tmpl w:val="570CCCE6"/>
    <w:styleLink w:val="WWNum2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0" w15:restartNumberingAfterBreak="0">
    <w:nsid w:val="508F4C64"/>
    <w:multiLevelType w:val="multilevel"/>
    <w:tmpl w:val="E0F82D12"/>
    <w:styleLink w:val="WWNum1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1" w15:restartNumberingAfterBreak="0">
    <w:nsid w:val="5343731C"/>
    <w:multiLevelType w:val="multilevel"/>
    <w:tmpl w:val="888E2998"/>
    <w:styleLink w:val="WWNum2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2" w15:restartNumberingAfterBreak="0">
    <w:nsid w:val="55DB00EF"/>
    <w:multiLevelType w:val="multilevel"/>
    <w:tmpl w:val="FC44878C"/>
    <w:styleLink w:val="WWNum13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3" w15:restartNumberingAfterBreak="0">
    <w:nsid w:val="56163F65"/>
    <w:multiLevelType w:val="multilevel"/>
    <w:tmpl w:val="7BF29136"/>
    <w:styleLink w:val="WWNum1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4" w15:restartNumberingAfterBreak="0">
    <w:nsid w:val="56DC08BE"/>
    <w:multiLevelType w:val="multilevel"/>
    <w:tmpl w:val="0D28F5B0"/>
    <w:styleLink w:val="WWNum4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578725D6"/>
    <w:multiLevelType w:val="multilevel"/>
    <w:tmpl w:val="71680044"/>
    <w:styleLink w:val="WWNum4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5AE717D2"/>
    <w:multiLevelType w:val="multilevel"/>
    <w:tmpl w:val="2D8EF68A"/>
    <w:styleLink w:val="WWNum2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7" w15:restartNumberingAfterBreak="0">
    <w:nsid w:val="5B551B20"/>
    <w:multiLevelType w:val="multilevel"/>
    <w:tmpl w:val="9BC8B920"/>
    <w:styleLink w:val="WWNum27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48" w15:restartNumberingAfterBreak="0">
    <w:nsid w:val="5BFA4920"/>
    <w:multiLevelType w:val="multilevel"/>
    <w:tmpl w:val="35DE06EC"/>
    <w:styleLink w:val="WWNum4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6D41BEA"/>
    <w:multiLevelType w:val="multilevel"/>
    <w:tmpl w:val="440CE4B2"/>
    <w:styleLink w:val="WWNum4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67A86B8D"/>
    <w:multiLevelType w:val="multilevel"/>
    <w:tmpl w:val="86A4E6BE"/>
    <w:styleLink w:val="WWNum9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1" w15:restartNumberingAfterBreak="0">
    <w:nsid w:val="6A970319"/>
    <w:multiLevelType w:val="multilevel"/>
    <w:tmpl w:val="1CBCAA9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2" w15:restartNumberingAfterBreak="0">
    <w:nsid w:val="6CAA0418"/>
    <w:multiLevelType w:val="multilevel"/>
    <w:tmpl w:val="52C84174"/>
    <w:styleLink w:val="WWNum3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6E382779"/>
    <w:multiLevelType w:val="multilevel"/>
    <w:tmpl w:val="05BC51AE"/>
    <w:styleLink w:val="WWNum1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70055278"/>
    <w:multiLevelType w:val="multilevel"/>
    <w:tmpl w:val="0E5E6C9C"/>
    <w:styleLink w:val="WWNum51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 w15:restartNumberingAfterBreak="0">
    <w:nsid w:val="71546DB4"/>
    <w:multiLevelType w:val="multilevel"/>
    <w:tmpl w:val="AD6EF80C"/>
    <w:styleLink w:val="WWNum3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-3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4680" w:hanging="360"/>
      </w:pPr>
      <w:rPr>
        <w:rFonts w:ascii="Wingdings" w:hAnsi="Wingdings"/>
      </w:rPr>
    </w:lvl>
  </w:abstractNum>
  <w:abstractNum w:abstractNumId="56" w15:restartNumberingAfterBreak="0">
    <w:nsid w:val="77747B94"/>
    <w:multiLevelType w:val="multilevel"/>
    <w:tmpl w:val="41048A40"/>
    <w:styleLink w:val="WWNum2"/>
    <w:lvl w:ilvl="0">
      <w:numFmt w:val="bullet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7DD47852"/>
    <w:multiLevelType w:val="multilevel"/>
    <w:tmpl w:val="41D02E9E"/>
    <w:styleLink w:val="WWNum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1"/>
  </w:num>
  <w:num w:numId="2">
    <w:abstractNumId w:val="53"/>
  </w:num>
  <w:num w:numId="3">
    <w:abstractNumId w:val="56"/>
  </w:num>
  <w:num w:numId="4">
    <w:abstractNumId w:val="22"/>
  </w:num>
  <w:num w:numId="5">
    <w:abstractNumId w:val="44"/>
  </w:num>
  <w:num w:numId="6">
    <w:abstractNumId w:val="6"/>
  </w:num>
  <w:num w:numId="7">
    <w:abstractNumId w:val="13"/>
  </w:num>
  <w:num w:numId="8">
    <w:abstractNumId w:val="35"/>
  </w:num>
  <w:num w:numId="9">
    <w:abstractNumId w:val="25"/>
  </w:num>
  <w:num w:numId="10">
    <w:abstractNumId w:val="50"/>
  </w:num>
  <w:num w:numId="11">
    <w:abstractNumId w:val="29"/>
  </w:num>
  <w:num w:numId="12">
    <w:abstractNumId w:val="32"/>
  </w:num>
  <w:num w:numId="13">
    <w:abstractNumId w:val="16"/>
  </w:num>
  <w:num w:numId="14">
    <w:abstractNumId w:val="42"/>
  </w:num>
  <w:num w:numId="15">
    <w:abstractNumId w:val="24"/>
  </w:num>
  <w:num w:numId="16">
    <w:abstractNumId w:val="11"/>
  </w:num>
  <w:num w:numId="17">
    <w:abstractNumId w:val="43"/>
  </w:num>
  <w:num w:numId="18">
    <w:abstractNumId w:val="23"/>
  </w:num>
  <w:num w:numId="19">
    <w:abstractNumId w:val="10"/>
  </w:num>
  <w:num w:numId="20">
    <w:abstractNumId w:val="40"/>
  </w:num>
  <w:num w:numId="21">
    <w:abstractNumId w:val="28"/>
  </w:num>
  <w:num w:numId="22">
    <w:abstractNumId w:val="17"/>
  </w:num>
  <w:num w:numId="23">
    <w:abstractNumId w:val="12"/>
  </w:num>
  <w:num w:numId="24">
    <w:abstractNumId w:val="4"/>
  </w:num>
  <w:num w:numId="25">
    <w:abstractNumId w:val="39"/>
  </w:num>
  <w:num w:numId="26">
    <w:abstractNumId w:val="14"/>
  </w:num>
  <w:num w:numId="27">
    <w:abstractNumId w:val="46"/>
  </w:num>
  <w:num w:numId="28">
    <w:abstractNumId w:val="47"/>
  </w:num>
  <w:num w:numId="29">
    <w:abstractNumId w:val="41"/>
  </w:num>
  <w:num w:numId="30">
    <w:abstractNumId w:val="9"/>
  </w:num>
  <w:num w:numId="31">
    <w:abstractNumId w:val="55"/>
  </w:num>
  <w:num w:numId="32">
    <w:abstractNumId w:val="26"/>
  </w:num>
  <w:num w:numId="33">
    <w:abstractNumId w:val="7"/>
  </w:num>
  <w:num w:numId="34">
    <w:abstractNumId w:val="8"/>
  </w:num>
  <w:num w:numId="35">
    <w:abstractNumId w:val="15"/>
  </w:num>
  <w:num w:numId="36">
    <w:abstractNumId w:val="52"/>
  </w:num>
  <w:num w:numId="37">
    <w:abstractNumId w:val="33"/>
  </w:num>
  <w:num w:numId="38">
    <w:abstractNumId w:val="38"/>
  </w:num>
  <w:num w:numId="39">
    <w:abstractNumId w:val="31"/>
  </w:num>
  <w:num w:numId="40">
    <w:abstractNumId w:val="18"/>
  </w:num>
  <w:num w:numId="41">
    <w:abstractNumId w:val="20"/>
  </w:num>
  <w:num w:numId="42">
    <w:abstractNumId w:val="21"/>
  </w:num>
  <w:num w:numId="43">
    <w:abstractNumId w:val="49"/>
  </w:num>
  <w:num w:numId="44">
    <w:abstractNumId w:val="2"/>
  </w:num>
  <w:num w:numId="45">
    <w:abstractNumId w:val="45"/>
  </w:num>
  <w:num w:numId="46">
    <w:abstractNumId w:val="30"/>
  </w:num>
  <w:num w:numId="47">
    <w:abstractNumId w:val="48"/>
  </w:num>
  <w:num w:numId="48">
    <w:abstractNumId w:val="0"/>
  </w:num>
  <w:num w:numId="49">
    <w:abstractNumId w:val="34"/>
  </w:num>
  <w:num w:numId="50">
    <w:abstractNumId w:val="19"/>
  </w:num>
  <w:num w:numId="51">
    <w:abstractNumId w:val="57"/>
  </w:num>
  <w:num w:numId="52">
    <w:abstractNumId w:val="54"/>
  </w:num>
  <w:num w:numId="53">
    <w:abstractNumId w:val="3"/>
  </w:num>
  <w:num w:numId="54">
    <w:abstractNumId w:val="1"/>
  </w:num>
  <w:num w:numId="55">
    <w:abstractNumId w:val="5"/>
  </w:num>
  <w:num w:numId="56">
    <w:abstractNumId w:val="27"/>
  </w:num>
  <w:num w:numId="57">
    <w:abstractNumId w:val="37"/>
  </w:num>
  <w:num w:numId="58">
    <w:abstractNumId w:val="36"/>
  </w:num>
  <w:num w:numId="59">
    <w:abstractNumId w:val="42"/>
    <w:lvlOverride w:ilvl="0"/>
  </w:num>
  <w:num w:numId="60">
    <w:abstractNumId w:val="44"/>
    <w:lvlOverride w:ilvl="0"/>
  </w:num>
  <w:num w:numId="61">
    <w:abstractNumId w:val="22"/>
    <w:lvlOverride w:ilvl="0"/>
  </w:num>
  <w:num w:numId="62">
    <w:abstractNumId w:val="13"/>
    <w:lvlOverride w:ilvl="0"/>
  </w:num>
  <w:num w:numId="63">
    <w:abstractNumId w:val="53"/>
    <w:lvlOverride w:ilvl="0"/>
  </w:num>
  <w:num w:numId="64">
    <w:abstractNumId w:val="56"/>
    <w:lvlOverride w:ilvl="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93A02"/>
    <w:rsid w:val="00D93A02"/>
    <w:rsid w:val="00E8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890DB-0AE5-473D-8F6F-4D5EDBBD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jc w:val="both"/>
      <w:outlineLvl w:val="0"/>
    </w:pPr>
    <w:rPr>
      <w:b/>
      <w:bCs/>
    </w:rPr>
  </w:style>
  <w:style w:type="paragraph" w:styleId="Nagwek2">
    <w:name w:val="heading 2"/>
    <w:basedOn w:val="Standard"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Standard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Standard"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Nagwek5">
    <w:name w:val="heading 5"/>
    <w:basedOn w:val="Standard"/>
    <w:pPr>
      <w:keepNext/>
      <w:outlineLvl w:val="4"/>
    </w:pPr>
    <w:rPr>
      <w:b/>
      <w:sz w:val="28"/>
      <w:szCs w:val="20"/>
    </w:rPr>
  </w:style>
  <w:style w:type="paragraph" w:styleId="Nagwek6">
    <w:name w:val="heading 6"/>
    <w:basedOn w:val="Standar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opkaCopyright">
    <w:name w:val="Stopka Copyright"/>
    <w:basedOn w:val="Standard"/>
    <w:pPr>
      <w:jc w:val="both"/>
    </w:pPr>
    <w:rPr>
      <w:rFonts w:ascii="Roboto" w:eastAsia="Calibri" w:hAnsi="Roboto" w:cs="Roboto"/>
      <w:iCs/>
      <w:color w:val="000000"/>
      <w:sz w:val="16"/>
      <w:szCs w:val="18"/>
      <w:lang w:eastAsia="en-US"/>
    </w:rPr>
  </w:style>
  <w:style w:type="paragraph" w:customStyle="1" w:styleId="StronaTytuowaCopyright">
    <w:name w:val="Strona Tytułowa Copyright"/>
    <w:basedOn w:val="Standard"/>
    <w:pPr>
      <w:spacing w:line="276" w:lineRule="auto"/>
      <w:jc w:val="center"/>
    </w:pPr>
    <w:rPr>
      <w:rFonts w:ascii="Roboto Light" w:eastAsia="Calibri" w:hAnsi="Roboto Light" w:cs="Roboto Light"/>
      <w:iCs/>
      <w:color w:val="000000"/>
      <w:sz w:val="20"/>
      <w:szCs w:val="20"/>
      <w:lang w:eastAsia="en-US"/>
    </w:rPr>
  </w:style>
  <w:style w:type="paragraph" w:customStyle="1" w:styleId="StronaTytuowaTytu">
    <w:name w:val="Strona Tytułowa Tytuł"/>
    <w:pPr>
      <w:jc w:val="center"/>
    </w:pPr>
    <w:rPr>
      <w:rFonts w:ascii="Roboto" w:eastAsia="Calibri" w:hAnsi="Roboto" w:cs="Roboto"/>
      <w:sz w:val="64"/>
      <w:lang w:eastAsia="en-US"/>
    </w:rPr>
  </w:style>
  <w:style w:type="paragraph" w:customStyle="1" w:styleId="StronaTytuowaAutorzy">
    <w:name w:val="Strona Tytułowa Autorzy"/>
    <w:pPr>
      <w:jc w:val="center"/>
    </w:pPr>
    <w:rPr>
      <w:rFonts w:ascii="Roboto Light" w:eastAsia="Calibri" w:hAnsi="Roboto Light" w:cs="Roboto Light"/>
      <w:color w:val="000000"/>
      <w:sz w:val="32"/>
      <w:szCs w:val="32"/>
      <w:lang w:eastAsia="en-US"/>
    </w:rPr>
  </w:style>
  <w:style w:type="paragraph" w:customStyle="1" w:styleId="PodtytulArial14">
    <w:name w:val="Podtytul Arial 14"/>
    <w:basedOn w:val="TytulArial20"/>
    <w:pPr>
      <w:spacing w:before="0"/>
    </w:pPr>
    <w:rPr>
      <w:sz w:val="28"/>
      <w:szCs w:val="28"/>
    </w:rPr>
  </w:style>
  <w:style w:type="paragraph" w:customStyle="1" w:styleId="TytulArial20">
    <w:name w:val="Tytul Arial 20"/>
    <w:basedOn w:val="Nagwek2"/>
    <w:pPr>
      <w:spacing w:line="276" w:lineRule="auto"/>
    </w:pPr>
    <w:rPr>
      <w:rFonts w:ascii="Arial" w:eastAsia="Arial" w:hAnsi="Arial" w:cs="Arial"/>
      <w:color w:val="92D050"/>
      <w:sz w:val="40"/>
      <w:szCs w:val="40"/>
      <w:lang w:eastAsia="en-US"/>
    </w:rPr>
  </w:style>
  <w:style w:type="paragraph" w:styleId="Poprawka">
    <w:name w:val="Revision"/>
  </w:style>
  <w:style w:type="paragraph" w:styleId="Tematkomentarza">
    <w:name w:val="annotation subject"/>
    <w:basedOn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Podtytu">
    <w:name w:val="Subtitle"/>
    <w:basedOn w:val="Standard"/>
    <w:rPr>
      <w:rFonts w:ascii="Cambria" w:eastAsia="Cambria" w:hAnsi="Cambria" w:cs="Cambria"/>
      <w:i/>
      <w:iCs/>
      <w:color w:val="4F81BD"/>
      <w:spacing w:val="15"/>
    </w:rPr>
  </w:style>
  <w:style w:type="paragraph" w:styleId="Listapunktowana2">
    <w:name w:val="List Bullet 2"/>
    <w:basedOn w:val="Standard"/>
    <w:pPr>
      <w:tabs>
        <w:tab w:val="left" w:pos="1286"/>
        <w:tab w:val="left" w:pos="1363"/>
      </w:tabs>
      <w:ind w:left="643" w:hanging="360"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Akapitzlist1">
    <w:name w:val="Akapit z listą1"/>
    <w:basedOn w:val="Standard"/>
    <w:pPr>
      <w:widowControl w:val="0"/>
      <w:ind w:left="720"/>
    </w:pPr>
    <w:rPr>
      <w:rFonts w:ascii="Arial" w:eastAsia="Arial" w:hAnsi="Arial"/>
      <w:sz w:val="20"/>
      <w:szCs w:val="20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ytu">
    <w:name w:val="Title"/>
    <w:basedOn w:val="Standard"/>
    <w:pPr>
      <w:jc w:val="center"/>
    </w:pPr>
    <w:rPr>
      <w:szCs w:val="20"/>
    </w:rPr>
  </w:style>
  <w:style w:type="paragraph" w:customStyle="1" w:styleId="Kolorowalistaakcent11">
    <w:name w:val="Kolorowa lista — akcent 11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ListLabel23">
    <w:name w:val="ListLabel 23"/>
    <w:rPr>
      <w:rFonts w:eastAsia="Times New Roman"/>
    </w:rPr>
  </w:style>
  <w:style w:type="character" w:customStyle="1" w:styleId="ListLabel22">
    <w:name w:val="ListLabel 22"/>
    <w:rPr>
      <w:color w:val="00000A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styleId="Tekstzastpczy">
    <w:name w:val="Placeholder Text"/>
    <w:basedOn w:val="Domylnaczcionkaakapitu"/>
    <w:rPr>
      <w:color w:val="808080"/>
    </w:rPr>
  </w:style>
  <w:style w:type="character" w:customStyle="1" w:styleId="PodtytulArial14Znak">
    <w:name w:val="Podtytul Arial 14 Znak"/>
    <w:basedOn w:val="TytulArial20Znak"/>
    <w:rPr>
      <w:rFonts w:ascii="Arial" w:eastAsia="Arial" w:hAnsi="Arial" w:cs="Arial"/>
      <w:b/>
      <w:bCs/>
      <w:color w:val="92D050"/>
      <w:sz w:val="28"/>
      <w:szCs w:val="28"/>
      <w:lang w:eastAsia="en-US"/>
    </w:rPr>
  </w:style>
  <w:style w:type="character" w:customStyle="1" w:styleId="TytulArial20Znak">
    <w:name w:val="Tytul Arial 20 Znak"/>
    <w:basedOn w:val="Nagwek2Znak"/>
    <w:rPr>
      <w:rFonts w:ascii="Arial" w:eastAsia="Arial" w:hAnsi="Arial" w:cs="Arial"/>
      <w:b/>
      <w:bCs/>
      <w:color w:val="92D050"/>
      <w:sz w:val="40"/>
      <w:szCs w:val="40"/>
      <w:lang w:eastAsia="en-US"/>
    </w:rPr>
  </w:style>
  <w:style w:type="character" w:customStyle="1" w:styleId="TematkomentarzaZnak">
    <w:name w:val="Temat komentarza Znak"/>
    <w:basedOn w:val="TekstkomentarzaZnak"/>
    <w:rPr>
      <w:rFonts w:cs="Times New Roman"/>
      <w:b/>
      <w:bCs/>
    </w:rPr>
  </w:style>
  <w:style w:type="character" w:customStyle="1" w:styleId="TekstkomentarzaZnak">
    <w:name w:val="Tekst komentarza Znak"/>
    <w:basedOn w:val="Domylnaczcionkaakapitu"/>
    <w:rPr>
      <w:rFonts w:cs="Times New Roman"/>
    </w:rPr>
  </w:style>
  <w:style w:type="character" w:styleId="Odwoaniedokomentarza">
    <w:name w:val="annotation reference"/>
    <w:basedOn w:val="Domylnaczcionkaakapitu"/>
    <w:rPr>
      <w:rFonts w:cs="Times New Roman"/>
      <w:sz w:val="16"/>
      <w:szCs w:val="16"/>
    </w:rPr>
  </w:style>
  <w:style w:type="character" w:customStyle="1" w:styleId="PodtytuZnak">
    <w:name w:val="Podtytuł Znak"/>
    <w:basedOn w:val="Domylnaczcionkaakapitu"/>
    <w:rPr>
      <w:rFonts w:ascii="Cambria" w:eastAsia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ekstpodstawowywcityZnak">
    <w:name w:val="Tekst podstawowy wcięty Znak"/>
    <w:basedOn w:val="Domylnaczcionkaakapitu"/>
    <w:rPr>
      <w:rFonts w:cs="Times New Roman"/>
      <w:sz w:val="24"/>
      <w:szCs w:val="24"/>
    </w:rPr>
  </w:style>
  <w:style w:type="character" w:styleId="Numerstrony">
    <w:name w:val="page number"/>
    <w:basedOn w:val="Domylnaczcionkaakapitu"/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  <w:szCs w:val="24"/>
    </w:rPr>
  </w:style>
  <w:style w:type="character" w:customStyle="1" w:styleId="NagwekZnak">
    <w:name w:val="Nagłówek Znak"/>
    <w:basedOn w:val="Domylnaczcionkaakapitu"/>
    <w:rPr>
      <w:rFonts w:cs="Times New Roman"/>
    </w:rPr>
  </w:style>
  <w:style w:type="character" w:customStyle="1" w:styleId="TytuZnak">
    <w:name w:val="Tytuł Znak"/>
    <w:basedOn w:val="Domylnaczcionkaakapitu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gwek6Znak">
    <w:name w:val="Nagłówek 6 Znak"/>
    <w:basedOn w:val="Domylnaczcionkaakapitu"/>
    <w:rPr>
      <w:rFonts w:ascii="Calibri" w:eastAsia="Calibri" w:hAnsi="Calibri" w:cs="Times New Roman"/>
      <w:b/>
      <w:bCs/>
    </w:rPr>
  </w:style>
  <w:style w:type="character" w:customStyle="1" w:styleId="Nagwek5Znak">
    <w:name w:val="Nagłówek 5 Znak"/>
    <w:basedOn w:val="Domylnaczcionkaakapitu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Nagwek4Znak">
    <w:name w:val="Nagłówek 4 Znak"/>
    <w:basedOn w:val="Domylnaczcionkaakapitu"/>
    <w:rPr>
      <w:rFonts w:ascii="Cambria" w:eastAsia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3Znak">
    <w:name w:val="Nagłówek 3 Znak"/>
    <w:basedOn w:val="Domylnaczcionkaakapitu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gwek2Znak">
    <w:name w:val="Nagłówek 2 Znak"/>
    <w:basedOn w:val="Domylnaczcionkaakapitu"/>
    <w:rPr>
      <w:rFonts w:ascii="Cambria" w:eastAsia="Cambria" w:hAnsi="Cambria" w:cs="Times New Roman"/>
      <w:b/>
      <w:bCs/>
      <w:color w:val="4F81BD"/>
      <w:sz w:val="26"/>
      <w:szCs w:val="2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  <w:style w:type="numbering" w:customStyle="1" w:styleId="WWNum52">
    <w:name w:val="WWNum52"/>
    <w:basedOn w:val="Bezlisty"/>
    <w:pPr>
      <w:numPr>
        <w:numId w:val="53"/>
      </w:numPr>
    </w:pPr>
  </w:style>
  <w:style w:type="numbering" w:customStyle="1" w:styleId="WWNum53">
    <w:name w:val="WWNum53"/>
    <w:basedOn w:val="Bezlisty"/>
    <w:pPr>
      <w:numPr>
        <w:numId w:val="54"/>
      </w:numPr>
    </w:pPr>
  </w:style>
  <w:style w:type="numbering" w:customStyle="1" w:styleId="WWNum54">
    <w:name w:val="WWNum54"/>
    <w:basedOn w:val="Bezlisty"/>
    <w:pPr>
      <w:numPr>
        <w:numId w:val="55"/>
      </w:numPr>
    </w:pPr>
  </w:style>
  <w:style w:type="numbering" w:customStyle="1" w:styleId="WWNum55">
    <w:name w:val="WWNum55"/>
    <w:basedOn w:val="Bezlisty"/>
    <w:pPr>
      <w:numPr>
        <w:numId w:val="56"/>
      </w:numPr>
    </w:pPr>
  </w:style>
  <w:style w:type="numbering" w:customStyle="1" w:styleId="WWNum56">
    <w:name w:val="WWNum56"/>
    <w:basedOn w:val="Bezlisty"/>
    <w:pPr>
      <w:numPr>
        <w:numId w:val="57"/>
      </w:numPr>
    </w:pPr>
  </w:style>
  <w:style w:type="numbering" w:customStyle="1" w:styleId="WWNum57">
    <w:name w:val="WWNum57"/>
    <w:basedOn w:val="Bezlisty"/>
    <w:pPr>
      <w:numPr>
        <w:numId w:val="5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2025-08-31T10:23:00Z</dcterms:created>
  <dcterms:modified xsi:type="dcterms:W3CDTF">2025-08-31T10:23:00Z</dcterms:modified>
</cp:coreProperties>
</file>