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11A" w:rsidRDefault="00E50514">
      <w:pPr>
        <w:pStyle w:val="Standard"/>
        <w:spacing w:line="120" w:lineRule="atLeast"/>
        <w:jc w:val="center"/>
        <w:rPr>
          <w:rFonts w:hint="eastAsia"/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>Przedmiotowy</w:t>
      </w:r>
      <w:r>
        <w:rPr>
          <w:sz w:val="40"/>
          <w:szCs w:val="40"/>
        </w:rPr>
        <w:t xml:space="preserve"> systemu oceniania </w:t>
      </w:r>
      <w:r>
        <w:rPr>
          <w:sz w:val="40"/>
          <w:szCs w:val="40"/>
        </w:rPr>
        <w:br/>
      </w:r>
      <w:r>
        <w:rPr>
          <w:sz w:val="40"/>
          <w:szCs w:val="40"/>
        </w:rPr>
        <w:t>wraz z określeniem wymagań edukacyjnych</w:t>
      </w:r>
    </w:p>
    <w:p w:rsidR="00F1711A" w:rsidRDefault="00E50514">
      <w:pPr>
        <w:pStyle w:val="StronaTytuowaTytu"/>
        <w:spacing w:line="120" w:lineRule="atLeast"/>
      </w:pPr>
      <w:r>
        <w:t>MATeMAtyka</w:t>
      </w:r>
    </w:p>
    <w:p w:rsidR="00F1711A" w:rsidRDefault="00E50514">
      <w:pPr>
        <w:pStyle w:val="StronaTytuowaTytu"/>
        <w:spacing w:line="120" w:lineRule="atLeast"/>
        <w:rPr>
          <w:sz w:val="44"/>
          <w:szCs w:val="44"/>
        </w:rPr>
      </w:pPr>
      <w:r>
        <w:rPr>
          <w:sz w:val="44"/>
          <w:szCs w:val="44"/>
        </w:rPr>
        <w:t>Zakres podstawowy i rozszerzony</w:t>
      </w:r>
    </w:p>
    <w:p w:rsidR="00F1711A" w:rsidRDefault="00F1711A">
      <w:pPr>
        <w:pStyle w:val="Standard"/>
        <w:rPr>
          <w:rFonts w:hint="eastAsia"/>
        </w:rPr>
      </w:pPr>
    </w:p>
    <w:p w:rsidR="00F1711A" w:rsidRDefault="00F1711A">
      <w:pPr>
        <w:pStyle w:val="Standard"/>
        <w:rPr>
          <w:rFonts w:hint="eastAsia"/>
        </w:rPr>
      </w:pPr>
    </w:p>
    <w:p w:rsidR="00F1711A" w:rsidRDefault="00F1711A">
      <w:pPr>
        <w:pStyle w:val="Standard"/>
        <w:rPr>
          <w:rFonts w:hint="eastAsia"/>
        </w:rPr>
      </w:pPr>
    </w:p>
    <w:p w:rsidR="00F1711A" w:rsidRDefault="00F1711A">
      <w:pPr>
        <w:pStyle w:val="Standard"/>
        <w:rPr>
          <w:rFonts w:hint="eastAsia"/>
        </w:rPr>
      </w:pPr>
    </w:p>
    <w:p w:rsidR="00F1711A" w:rsidRDefault="00F1711A">
      <w:pPr>
        <w:pStyle w:val="Standard"/>
        <w:rPr>
          <w:rFonts w:hint="eastAsia"/>
        </w:rPr>
      </w:pPr>
    </w:p>
    <w:p w:rsidR="00F1711A" w:rsidRDefault="00F1711A">
      <w:pPr>
        <w:pStyle w:val="Standard"/>
        <w:rPr>
          <w:rFonts w:hint="eastAsia"/>
        </w:rPr>
      </w:pPr>
    </w:p>
    <w:p w:rsidR="00F1711A" w:rsidRDefault="00F1711A">
      <w:pPr>
        <w:pStyle w:val="Standard"/>
        <w:rPr>
          <w:rFonts w:hint="eastAsia"/>
        </w:rPr>
      </w:pPr>
    </w:p>
    <w:p w:rsidR="00F1711A" w:rsidRDefault="00F1711A">
      <w:pPr>
        <w:pStyle w:val="Standard"/>
        <w:rPr>
          <w:rFonts w:hint="eastAsia"/>
        </w:rPr>
      </w:pPr>
    </w:p>
    <w:p w:rsidR="00F1711A" w:rsidRDefault="00F1711A">
      <w:pPr>
        <w:pStyle w:val="Standard"/>
        <w:rPr>
          <w:rFonts w:hint="eastAsia"/>
        </w:rPr>
      </w:pPr>
    </w:p>
    <w:p w:rsidR="00F1711A" w:rsidRDefault="00F1711A">
      <w:pPr>
        <w:pStyle w:val="Standard"/>
        <w:rPr>
          <w:rFonts w:hint="eastAsia"/>
        </w:rPr>
      </w:pPr>
    </w:p>
    <w:p w:rsidR="00F1711A" w:rsidRDefault="00F1711A">
      <w:pPr>
        <w:pStyle w:val="Standard"/>
        <w:rPr>
          <w:rFonts w:hint="eastAsia"/>
        </w:rPr>
      </w:pPr>
    </w:p>
    <w:p w:rsidR="00F1711A" w:rsidRDefault="00F1711A">
      <w:pPr>
        <w:pStyle w:val="Standard"/>
        <w:rPr>
          <w:rFonts w:hint="eastAsia"/>
        </w:rPr>
      </w:pPr>
    </w:p>
    <w:p w:rsidR="00F1711A" w:rsidRDefault="00F1711A">
      <w:pPr>
        <w:pStyle w:val="Standard"/>
        <w:rPr>
          <w:rFonts w:hint="eastAsia"/>
        </w:rPr>
      </w:pPr>
    </w:p>
    <w:p w:rsidR="00F1711A" w:rsidRDefault="00F1711A">
      <w:pPr>
        <w:pStyle w:val="Standard"/>
        <w:rPr>
          <w:rFonts w:hint="eastAsia"/>
        </w:rPr>
      </w:pPr>
    </w:p>
    <w:p w:rsidR="00F1711A" w:rsidRDefault="00F1711A">
      <w:pPr>
        <w:pStyle w:val="Standard"/>
        <w:rPr>
          <w:rFonts w:hint="eastAsia"/>
        </w:rPr>
      </w:pPr>
    </w:p>
    <w:p w:rsidR="00F1711A" w:rsidRDefault="00F1711A">
      <w:pPr>
        <w:pStyle w:val="Standard"/>
        <w:rPr>
          <w:rFonts w:hint="eastAsia"/>
        </w:rPr>
      </w:pPr>
    </w:p>
    <w:p w:rsidR="00F1711A" w:rsidRDefault="00F1711A">
      <w:pPr>
        <w:pStyle w:val="Standard"/>
        <w:rPr>
          <w:rFonts w:hint="eastAsia"/>
        </w:rPr>
      </w:pPr>
    </w:p>
    <w:p w:rsidR="00F1711A" w:rsidRDefault="00F1711A">
      <w:pPr>
        <w:pStyle w:val="Standard"/>
        <w:rPr>
          <w:rFonts w:hint="eastAsia"/>
        </w:rPr>
      </w:pPr>
    </w:p>
    <w:p w:rsidR="00F1711A" w:rsidRDefault="00F1711A">
      <w:pPr>
        <w:pStyle w:val="Standard"/>
        <w:rPr>
          <w:rFonts w:hint="eastAsia"/>
        </w:rPr>
      </w:pPr>
    </w:p>
    <w:p w:rsidR="00F1711A" w:rsidRDefault="00F1711A">
      <w:pPr>
        <w:pStyle w:val="Standard"/>
        <w:rPr>
          <w:rFonts w:hint="eastAsia"/>
        </w:rPr>
      </w:pPr>
    </w:p>
    <w:p w:rsidR="00F1711A" w:rsidRDefault="00F1711A">
      <w:pPr>
        <w:pStyle w:val="Standard"/>
        <w:rPr>
          <w:rFonts w:hint="eastAsia"/>
        </w:rPr>
      </w:pPr>
    </w:p>
    <w:p w:rsidR="00F1711A" w:rsidRDefault="00F1711A">
      <w:pPr>
        <w:pStyle w:val="Standard"/>
        <w:rPr>
          <w:rFonts w:hint="eastAsia"/>
        </w:rPr>
      </w:pPr>
    </w:p>
    <w:p w:rsidR="00F1711A" w:rsidRDefault="00F1711A">
      <w:pPr>
        <w:pStyle w:val="Standard"/>
        <w:rPr>
          <w:rFonts w:hint="eastAsia"/>
        </w:rPr>
      </w:pPr>
    </w:p>
    <w:p w:rsidR="00F1711A" w:rsidRDefault="00F1711A">
      <w:pPr>
        <w:pStyle w:val="Standard"/>
        <w:rPr>
          <w:rFonts w:hint="eastAsia"/>
        </w:rPr>
      </w:pPr>
    </w:p>
    <w:p w:rsidR="00F1711A" w:rsidRDefault="00F1711A">
      <w:pPr>
        <w:pStyle w:val="Standard"/>
        <w:rPr>
          <w:rFonts w:hint="eastAsia"/>
        </w:rPr>
      </w:pPr>
    </w:p>
    <w:p w:rsidR="00F1711A" w:rsidRDefault="00F1711A">
      <w:pPr>
        <w:pStyle w:val="Standard"/>
        <w:rPr>
          <w:rFonts w:hint="eastAsia"/>
        </w:rPr>
      </w:pPr>
    </w:p>
    <w:p w:rsidR="00F1711A" w:rsidRDefault="00F1711A">
      <w:pPr>
        <w:pStyle w:val="Standard"/>
        <w:rPr>
          <w:rFonts w:hint="eastAsia"/>
        </w:rPr>
      </w:pPr>
    </w:p>
    <w:p w:rsidR="00F1711A" w:rsidRDefault="00F1711A">
      <w:pPr>
        <w:pStyle w:val="Standard"/>
        <w:rPr>
          <w:rFonts w:hint="eastAsia"/>
        </w:rPr>
      </w:pPr>
    </w:p>
    <w:p w:rsidR="00F1711A" w:rsidRDefault="00F1711A">
      <w:pPr>
        <w:pStyle w:val="Standard"/>
        <w:rPr>
          <w:rFonts w:hint="eastAsia"/>
        </w:rPr>
      </w:pPr>
    </w:p>
    <w:p w:rsidR="00F1711A" w:rsidRDefault="00E50514">
      <w:pPr>
        <w:pStyle w:val="Textbodyindent"/>
        <w:pageBreakBefore/>
        <w:spacing w:line="120" w:lineRule="atLeast"/>
        <w:ind w:left="0"/>
        <w:jc w:val="both"/>
        <w:rPr>
          <w:rFonts w:hint="eastAsia"/>
        </w:rPr>
      </w:pPr>
      <w:r>
        <w:rPr>
          <w:rFonts w:ascii="Cambria" w:eastAsia="Calibri" w:hAnsi="Cambria"/>
          <w:iCs/>
          <w:sz w:val="22"/>
          <w:szCs w:val="22"/>
          <w:lang w:eastAsia="en-US"/>
        </w:rPr>
        <w:lastRenderedPageBreak/>
        <w:t xml:space="preserve">Wyróżnione zostały następujące wymagania programowe: konieczne (K), podstawowe (P), rozszerzające (R), dopełniające (D) i </w:t>
      </w:r>
      <w:r>
        <w:rPr>
          <w:rFonts w:ascii="Cambria" w:eastAsia="Calibri" w:hAnsi="Cambria"/>
          <w:iCs/>
          <w:sz w:val="22"/>
          <w:szCs w:val="22"/>
          <w:lang w:eastAsia="en-US"/>
        </w:rPr>
        <w:t xml:space="preserve">wykraczające (W). Wymienione poziomy wymagań odpowiadają w przybliżeniu ocenom szkolnym. Nauczyciel, określając te poziomy, powinien zatem sprecyzować, czy opanowania pewnych czynności lub wiedzy będzie wymagał na ocenę dopuszczającą (2), dostateczną (3), </w:t>
      </w:r>
      <w:r>
        <w:rPr>
          <w:rFonts w:ascii="Cambria" w:eastAsia="Calibri" w:hAnsi="Cambria"/>
          <w:iCs/>
          <w:sz w:val="22"/>
          <w:szCs w:val="22"/>
          <w:lang w:eastAsia="en-US"/>
        </w:rPr>
        <w:t>dobrą (4), bardzo dobrą (5) lub celującą (6).</w:t>
      </w:r>
    </w:p>
    <w:p w:rsidR="00F1711A" w:rsidRDefault="00F1711A">
      <w:pPr>
        <w:pStyle w:val="Standard"/>
        <w:spacing w:line="120" w:lineRule="atLeast"/>
        <w:jc w:val="both"/>
        <w:rPr>
          <w:rFonts w:ascii="Cambria" w:hAnsi="Cambria"/>
          <w:sz w:val="22"/>
          <w:szCs w:val="22"/>
        </w:rPr>
      </w:pPr>
    </w:p>
    <w:p w:rsidR="00F1711A" w:rsidRDefault="00E50514">
      <w:pPr>
        <w:pStyle w:val="Standard"/>
        <w:numPr>
          <w:ilvl w:val="0"/>
          <w:numId w:val="59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konieczne (K)</w:t>
      </w:r>
      <w:r>
        <w:rPr>
          <w:rFonts w:ascii="Cambria" w:hAnsi="Cambria"/>
          <w:sz w:val="22"/>
          <w:szCs w:val="22"/>
        </w:rPr>
        <w:t xml:space="preserve"> dotyczą zagadnień elementarnych, stanowiących swego rodzaju podstawę, zatem powinny być opanowane przez każdego ucznia.</w:t>
      </w:r>
    </w:p>
    <w:p w:rsidR="00F1711A" w:rsidRDefault="00E50514">
      <w:pPr>
        <w:pStyle w:val="Standard"/>
        <w:numPr>
          <w:ilvl w:val="0"/>
          <w:numId w:val="14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podstawowe (P)</w:t>
      </w:r>
      <w:r>
        <w:rPr>
          <w:rFonts w:ascii="Cambria" w:hAnsi="Cambria"/>
          <w:sz w:val="22"/>
          <w:szCs w:val="22"/>
        </w:rPr>
        <w:t xml:space="preserve"> zawierają wymagania z poziomu (K) wzboga</w:t>
      </w:r>
      <w:r>
        <w:rPr>
          <w:rFonts w:ascii="Cambria" w:hAnsi="Cambria"/>
          <w:sz w:val="22"/>
          <w:szCs w:val="22"/>
        </w:rPr>
        <w:t xml:space="preserve">cone </w:t>
      </w:r>
      <w:r>
        <w:rPr>
          <w:rFonts w:ascii="Cambria" w:hAnsi="Cambria"/>
          <w:sz w:val="22"/>
          <w:szCs w:val="22"/>
        </w:rPr>
        <w:br/>
      </w:r>
      <w:r>
        <w:rPr>
          <w:rFonts w:ascii="Cambria" w:hAnsi="Cambria"/>
          <w:sz w:val="22"/>
          <w:szCs w:val="22"/>
        </w:rPr>
        <w:t>o typowe problemy o niewielkim stopniu trudności.</w:t>
      </w:r>
    </w:p>
    <w:p w:rsidR="00F1711A" w:rsidRDefault="00E50514">
      <w:pPr>
        <w:pStyle w:val="Standard"/>
        <w:numPr>
          <w:ilvl w:val="0"/>
          <w:numId w:val="14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rozszerzające (R)</w:t>
      </w:r>
      <w:r>
        <w:rPr>
          <w:rFonts w:ascii="Cambria" w:hAnsi="Cambria"/>
          <w:sz w:val="22"/>
          <w:szCs w:val="22"/>
        </w:rPr>
        <w:t>, zawierające wymagania z poziomów (K) i (P), dotyczą zagadnień bardziej złożonych i nieco trudniejszych.</w:t>
      </w:r>
    </w:p>
    <w:p w:rsidR="00F1711A" w:rsidRDefault="00E50514">
      <w:pPr>
        <w:pStyle w:val="Standard"/>
        <w:numPr>
          <w:ilvl w:val="0"/>
          <w:numId w:val="14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dopełniające (D)</w:t>
      </w:r>
      <w:r>
        <w:rPr>
          <w:rFonts w:ascii="Cambria" w:hAnsi="Cambria"/>
          <w:sz w:val="22"/>
          <w:szCs w:val="22"/>
        </w:rPr>
        <w:t>, zawierające wymagania z poziomów (K), (</w:t>
      </w:r>
      <w:r>
        <w:rPr>
          <w:rFonts w:ascii="Cambria" w:hAnsi="Cambria"/>
          <w:sz w:val="22"/>
          <w:szCs w:val="22"/>
        </w:rPr>
        <w:t>P) i (R), dotyczą zagadnień problemowych, trudniejszych, wymagających umiejętności przetwarzania przyswojonych informacji.</w:t>
      </w:r>
    </w:p>
    <w:p w:rsidR="00F1711A" w:rsidRDefault="00E50514">
      <w:pPr>
        <w:pStyle w:val="Standard"/>
        <w:numPr>
          <w:ilvl w:val="0"/>
          <w:numId w:val="14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wykraczające (W)</w:t>
      </w:r>
      <w:r>
        <w:rPr>
          <w:rFonts w:ascii="Cambria" w:hAnsi="Cambria"/>
          <w:sz w:val="22"/>
          <w:szCs w:val="22"/>
        </w:rPr>
        <w:t xml:space="preserve"> dotyczą zagadnień trudnych i oryginalnych.</w:t>
      </w:r>
    </w:p>
    <w:p w:rsidR="00F1711A" w:rsidRDefault="00F1711A">
      <w:pPr>
        <w:pStyle w:val="Standard"/>
        <w:spacing w:line="120" w:lineRule="atLeast"/>
        <w:ind w:left="360"/>
        <w:jc w:val="both"/>
        <w:rPr>
          <w:rFonts w:ascii="Cambria" w:hAnsi="Cambria"/>
          <w:sz w:val="22"/>
          <w:szCs w:val="22"/>
        </w:rPr>
      </w:pPr>
    </w:p>
    <w:p w:rsidR="00F1711A" w:rsidRDefault="00E50514">
      <w:pPr>
        <w:pStyle w:val="Standard"/>
        <w:spacing w:after="120" w:line="120" w:lineRule="atLeast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Poniżej przedstawiony został podział wymagań na poszczególne </w:t>
      </w:r>
      <w:r>
        <w:rPr>
          <w:rFonts w:ascii="Cambria" w:hAnsi="Cambria"/>
          <w:sz w:val="22"/>
          <w:szCs w:val="22"/>
        </w:rPr>
        <w:t>oceny szkolne:</w:t>
      </w:r>
    </w:p>
    <w:p w:rsidR="00F1711A" w:rsidRDefault="00E50514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dopuszczająca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na poziomie (K)</w:t>
      </w:r>
    </w:p>
    <w:p w:rsidR="00F1711A" w:rsidRDefault="00E50514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dostateczna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na poziomie (K) i (P)</w:t>
      </w:r>
    </w:p>
    <w:p w:rsidR="00F1711A" w:rsidRDefault="00E50514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dobra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na poziomie (K), (P) i (R)</w:t>
      </w:r>
    </w:p>
    <w:p w:rsidR="00F1711A" w:rsidRDefault="00E50514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bardzo dobra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na poziomie (K), (P), (R) i (D)</w:t>
      </w:r>
    </w:p>
    <w:p w:rsidR="00F1711A" w:rsidRDefault="00E50514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celująca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</w:t>
      </w:r>
      <w:r>
        <w:rPr>
          <w:rFonts w:ascii="Cambria" w:hAnsi="Cambria"/>
          <w:sz w:val="22"/>
          <w:szCs w:val="22"/>
        </w:rPr>
        <w:t>ania na poziomie (K), (P), (R), (D) i (W)</w:t>
      </w:r>
    </w:p>
    <w:p w:rsidR="00F1711A" w:rsidRDefault="00F1711A">
      <w:pPr>
        <w:pStyle w:val="Standard"/>
        <w:spacing w:line="120" w:lineRule="atLeast"/>
        <w:ind w:left="360"/>
        <w:jc w:val="both"/>
        <w:rPr>
          <w:rFonts w:ascii="Cambria" w:hAnsi="Cambria"/>
          <w:sz w:val="22"/>
          <w:szCs w:val="22"/>
        </w:rPr>
      </w:pPr>
    </w:p>
    <w:p w:rsidR="00F1711A" w:rsidRDefault="00F1711A">
      <w:pPr>
        <w:pStyle w:val="Standard"/>
        <w:spacing w:line="120" w:lineRule="atLeast"/>
        <w:ind w:firstLine="360"/>
        <w:jc w:val="both"/>
        <w:rPr>
          <w:rFonts w:ascii="Cambria" w:hAnsi="Cambria"/>
          <w:sz w:val="22"/>
          <w:szCs w:val="22"/>
        </w:rPr>
      </w:pPr>
    </w:p>
    <w:p w:rsidR="00F1711A" w:rsidRDefault="00F1711A">
      <w:pPr>
        <w:pStyle w:val="Standard"/>
        <w:spacing w:line="120" w:lineRule="atLeast"/>
        <w:jc w:val="both"/>
        <w:rPr>
          <w:rFonts w:ascii="Cambria" w:hAnsi="Cambria"/>
          <w:szCs w:val="22"/>
        </w:rPr>
      </w:pPr>
    </w:p>
    <w:p w:rsidR="00F1711A" w:rsidRDefault="00E50514">
      <w:pPr>
        <w:pStyle w:val="Standard"/>
        <w:jc w:val="both"/>
        <w:rPr>
          <w:rFonts w:hint="eastAsia"/>
          <w:b/>
          <w:color w:val="21409A"/>
          <w:sz w:val="22"/>
          <w:szCs w:val="22"/>
        </w:rPr>
      </w:pPr>
      <w:r>
        <w:rPr>
          <w:b/>
          <w:color w:val="21409A"/>
          <w:sz w:val="22"/>
          <w:szCs w:val="22"/>
        </w:rPr>
        <w:t>KLASA IV</w:t>
      </w:r>
    </w:p>
    <w:p w:rsidR="00F1711A" w:rsidRDefault="00F1711A">
      <w:pPr>
        <w:pStyle w:val="Standard"/>
        <w:jc w:val="both"/>
        <w:rPr>
          <w:rFonts w:hint="eastAsia"/>
          <w:b/>
          <w:color w:val="21409A"/>
          <w:sz w:val="22"/>
          <w:szCs w:val="22"/>
        </w:rPr>
      </w:pPr>
    </w:p>
    <w:p w:rsidR="00F1711A" w:rsidRDefault="00E50514">
      <w:pPr>
        <w:pStyle w:val="Standard"/>
        <w:jc w:val="both"/>
        <w:rPr>
          <w:rFonts w:hint="eastAsia"/>
        </w:rPr>
      </w:pPr>
      <w:r>
        <w:rPr>
          <w:b/>
          <w:sz w:val="22"/>
          <w:szCs w:val="22"/>
        </w:rPr>
        <w:t>14. FUNKCJE TRYGONOMETRYCZNE</w:t>
      </w:r>
    </w:p>
    <w:p w:rsidR="00F1711A" w:rsidRDefault="00E50514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sz w:val="22"/>
          <w:szCs w:val="22"/>
        </w:rPr>
        <w:t xml:space="preserve">(K) </w:t>
      </w:r>
      <w:r>
        <w:rPr>
          <w:sz w:val="22"/>
          <w:szCs w:val="22"/>
        </w:rPr>
        <w:t>lub</w:t>
      </w:r>
      <w:r>
        <w:rPr>
          <w:b/>
          <w:sz w:val="22"/>
          <w:szCs w:val="22"/>
        </w:rPr>
        <w:t xml:space="preserve"> (P)</w:t>
      </w:r>
    </w:p>
    <w:p w:rsidR="00F1711A" w:rsidRDefault="00E50514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sz w:val="22"/>
          <w:szCs w:val="22"/>
        </w:rPr>
        <w:t xml:space="preserve">dopuszczającą </w:t>
      </w:r>
      <w:r>
        <w:rPr>
          <w:sz w:val="22"/>
          <w:szCs w:val="22"/>
        </w:rPr>
        <w:t xml:space="preserve">lub </w:t>
      </w:r>
      <w:r>
        <w:rPr>
          <w:b/>
          <w:sz w:val="22"/>
          <w:szCs w:val="22"/>
        </w:rPr>
        <w:t>dostateczną</w:t>
      </w:r>
      <w:r>
        <w:rPr>
          <w:sz w:val="22"/>
          <w:szCs w:val="22"/>
        </w:rPr>
        <w:t>, jeśli: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F1711A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60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wartości funkcji trygonometrycznych kąta, gdy dane są współrzędne punktu leżącego na jego końcowym ramieniu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zaznacza kąt w układzie współrzędnych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określa znaki funkcji </w:t>
            </w:r>
            <w:r>
              <w:rPr>
                <w:sz w:val="22"/>
                <w:szCs w:val="22"/>
              </w:rPr>
              <w:t>trygonometrycznych danego kąta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wartości funkcji trygonometrycznych kątów: 90°, 120°, 135°, 150°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określa położenie końcowego ramienia kąta na podstawie informacji o wartościach funkcji trygonometrycznych tego kąta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wykorzystuje funkcje trygonomet</w:t>
            </w:r>
            <w:r>
              <w:rPr>
                <w:sz w:val="22"/>
                <w:szCs w:val="22"/>
              </w:rPr>
              <w:t>ryczne – w prostych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8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zapisuje miarę danego kąta w postaci </w:t>
            </w:r>
            <m:oMath>
              <m:r>
                <w:rPr>
                  <w:rFonts w:ascii="Cambria Math" w:hAnsi="Cambria Math"/>
                </w:rPr>
                <m:t>k</m:t>
              </m:r>
              <m:r>
                <w:rPr>
                  <w:rFonts w:ascii="Cambria Math" w:hAnsi="Cambria Math"/>
                </w:rPr>
                <m:t>⋅</m:t>
              </m:r>
              <m:r>
                <w:rPr>
                  <w:rFonts w:ascii="Cambria Math" w:hAnsi="Cambria Math"/>
                </w:rPr>
                <m:t>360°+</m:t>
              </m:r>
              <m:r>
                <w:rPr>
                  <w:rFonts w:ascii="Cambria Math" w:hAnsi="Cambria Math"/>
                </w:rPr>
                <m:t>α</m:t>
              </m:r>
              <m: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k</m:t>
              </m:r>
              <m:r>
                <w:rPr>
                  <w:rFonts w:ascii="Cambria Math" w:hAnsi="Cambria Math"/>
                </w:rPr>
                <m:t>∈</m:t>
              </m:r>
              <m:r>
                <w:rPr>
                  <w:rFonts w:ascii="Cambria Math" w:hAnsi="Cambria Math"/>
                </w:rPr>
                <m:t>Z</m:t>
              </m:r>
            </m:oMath>
          </w:p>
        </w:tc>
      </w:tr>
      <w:tr w:rsidR="00F1711A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zamienia miarę stopniową na miarę łukową i odwrotnie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odczytuje okres podstawowy funkcji z jej wykresu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szkicuje wykresy funkcji trygonometrycznych w danym przedziale i określa ich wła</w:t>
            </w:r>
            <w:r>
              <w:rPr>
                <w:sz w:val="22"/>
                <w:szCs w:val="22"/>
              </w:rPr>
              <w:t>sności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8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szkicuje wykres funkcji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/>
                </w:rPr>
                <m:t>)+</m:t>
              </m:r>
              <m:r>
                <w:rPr>
                  <w:rFonts w:ascii="Cambria Math" w:hAnsi="Cambria Math"/>
                </w:rPr>
                <m:t>q</m:t>
              </m:r>
            </m:oMath>
            <w:r>
              <w:rPr>
                <w:sz w:val="22"/>
                <w:szCs w:val="22"/>
              </w:rPr>
              <w:t xml:space="preserve">, gdzie </w:t>
            </w:r>
            <w:r>
              <w:rPr>
                <w:i/>
                <w:sz w:val="22"/>
                <w:szCs w:val="22"/>
              </w:rPr>
              <w:t xml:space="preserve">f </w:t>
            </w:r>
            <w:r>
              <w:rPr>
                <w:sz w:val="22"/>
                <w:szCs w:val="22"/>
              </w:rPr>
              <w:t>jest funkcją trygonometryczną, i określa jej własności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8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szkicuje wykresy funkcji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 w:hAnsi="Cambria Math"/>
                </w:rPr>
                <m:t>=-</m:t>
              </m:r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</m:t>
              </m:r>
            </m:oMath>
            <w:r>
              <w:rPr>
                <w:sz w:val="22"/>
                <w:szCs w:val="22"/>
              </w:rPr>
              <w:t xml:space="preserve">oraz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(-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</m:t>
              </m:r>
            </m:oMath>
            <w:r>
              <w:rPr>
                <w:sz w:val="22"/>
                <w:szCs w:val="22"/>
              </w:rPr>
              <w:t xml:space="preserve">, gdzie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rPr>
                <w:sz w:val="22"/>
                <w:szCs w:val="22"/>
              </w:rPr>
              <w:t>jest funkcją trygonometryczną, i określa ich własności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uzasadnia proste tożsamości trygonometryczne, podaje odpowiednie</w:t>
            </w:r>
            <w:r>
              <w:rPr>
                <w:sz w:val="22"/>
                <w:szCs w:val="22"/>
              </w:rPr>
              <w:t xml:space="preserve"> założenia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wartości pozostałych funkcji trygonometrycznych, znając wartość funkcji sinus lub cosinus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wartości funkcji trygonometrycznych kątów z zastosowaniem wzorów na funkcje trygonometryczne sumy i różnicy kątów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wzory na funk</w:t>
            </w:r>
            <w:r>
              <w:rPr>
                <w:sz w:val="22"/>
                <w:szCs w:val="22"/>
              </w:rPr>
              <w:t>cje trygonometryczne podwojonego kąta – w prostych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8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lastRenderedPageBreak/>
              <w:t xml:space="preserve">zapisuje dany kąt w postaci </w:t>
            </w:r>
            <m:oMath>
              <m:r>
                <w:rPr>
                  <w:rFonts w:ascii="Cambria Math" w:hAnsi="Cambria Math"/>
                </w:rPr>
                <m:t>k</m:t>
              </m:r>
              <m:r>
                <w:rPr>
                  <w:rFonts w:ascii="Cambria Math" w:hAnsi="Cambria Math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±</m:t>
              </m:r>
              <m:r>
                <w:rPr>
                  <w:rFonts w:ascii="Cambria Math" w:hAnsi="Cambria Math"/>
                </w:rPr>
                <m:t>α</m:t>
              </m:r>
            </m:oMath>
            <w:r>
              <w:rPr>
                <w:sz w:val="22"/>
                <w:szCs w:val="22"/>
              </w:rPr>
              <w:t xml:space="preserve"> lub </w:t>
            </w:r>
            <m:oMath>
              <m:r>
                <w:rPr>
                  <w:rFonts w:ascii="Cambria Math" w:hAnsi="Cambria Math"/>
                </w:rPr>
                <m:t>k</m:t>
              </m:r>
              <m:r>
                <w:rPr>
                  <w:rFonts w:ascii="Cambria Math" w:hAnsi="Cambria Math"/>
                </w:rPr>
                <m:t>⋅</m:t>
              </m:r>
              <m:r>
                <w:rPr>
                  <w:rFonts w:ascii="Cambria Math" w:hAnsi="Cambria Math"/>
                </w:rPr>
                <m:t>90°±</m:t>
              </m:r>
              <m:r>
                <w:rPr>
                  <w:rFonts w:ascii="Cambria Math" w:hAnsi="Cambria Math"/>
                </w:rPr>
                <m:t>α</m:t>
              </m:r>
            </m:oMath>
            <w:r>
              <w:rPr>
                <w:sz w:val="22"/>
                <w:szCs w:val="22"/>
              </w:rPr>
              <w:t xml:space="preserve">, gdzie </w:t>
            </w:r>
            <m:oMath>
              <m:r>
                <w:rPr>
                  <w:rFonts w:ascii="Cambria Math" w:hAnsi="Cambria Math"/>
                </w:rPr>
                <m:t>k</m:t>
              </m:r>
              <m:r>
                <w:rPr>
                  <w:rFonts w:ascii="Cambria Math" w:hAnsi="Cambria Math"/>
                </w:rPr>
                <m:t>∈</m:t>
              </m:r>
              <m:r>
                <w:rPr>
                  <w:rFonts w:ascii="Cambria Math" w:hAnsi="Cambria Math"/>
                </w:rPr>
                <m:t>Z</m:t>
              </m:r>
            </m:oMath>
          </w:p>
        </w:tc>
      </w:tr>
      <w:tr w:rsidR="00F1711A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wzory redukcyjne do obliczania wartości funkcji trygonometrycznych danych kątów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proste równania  trygonometryczne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posługuje się </w:t>
            </w:r>
            <w:r>
              <w:rPr>
                <w:sz w:val="22"/>
                <w:szCs w:val="22"/>
              </w:rPr>
              <w:t>tablicami lub kalkulatorem do wyznaczania miary kąta w podanym przedziale, znając wartość jednej z jego funkcji trygonometrycznych</w:t>
            </w:r>
          </w:p>
        </w:tc>
      </w:tr>
    </w:tbl>
    <w:p w:rsidR="00F1711A" w:rsidRDefault="00F1711A">
      <w:pPr>
        <w:pStyle w:val="Standard"/>
        <w:rPr>
          <w:rFonts w:hint="eastAsia"/>
          <w:sz w:val="22"/>
          <w:szCs w:val="22"/>
        </w:rPr>
      </w:pPr>
    </w:p>
    <w:p w:rsidR="00F1711A" w:rsidRDefault="00E50514">
      <w:pPr>
        <w:pStyle w:val="Standard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sz w:val="22"/>
          <w:szCs w:val="22"/>
        </w:rPr>
        <w:t>(R)</w:t>
      </w:r>
      <w:r>
        <w:rPr>
          <w:sz w:val="22"/>
          <w:szCs w:val="22"/>
        </w:rPr>
        <w:t xml:space="preserve"> lub </w:t>
      </w:r>
      <w:r>
        <w:rPr>
          <w:b/>
          <w:sz w:val="22"/>
          <w:szCs w:val="22"/>
        </w:rPr>
        <w:t>(D)</w:t>
      </w:r>
    </w:p>
    <w:p w:rsidR="00F1711A" w:rsidRDefault="00E50514">
      <w:pPr>
        <w:pStyle w:val="Standard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sz w:val="22"/>
          <w:szCs w:val="22"/>
        </w:rPr>
        <w:t>dobrą</w:t>
      </w:r>
      <w:r>
        <w:rPr>
          <w:sz w:val="22"/>
          <w:szCs w:val="22"/>
        </w:rPr>
        <w:t xml:space="preserve"> lub </w:t>
      </w:r>
      <w:r>
        <w:rPr>
          <w:b/>
          <w:sz w:val="22"/>
          <w:szCs w:val="22"/>
        </w:rPr>
        <w:t>bardzo dobrą</w:t>
      </w:r>
      <w:r>
        <w:rPr>
          <w:sz w:val="22"/>
          <w:szCs w:val="22"/>
        </w:rPr>
        <w:t>, jeśli opanował poziomy (K) i (P) oraz dodatkowo: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F1711A">
        <w:tblPrEx>
          <w:tblCellMar>
            <w:top w:w="0" w:type="dxa"/>
            <w:bottom w:w="0" w:type="dxa"/>
          </w:tblCellMar>
        </w:tblPrEx>
        <w:trPr>
          <w:trHeight w:val="36"/>
        </w:trPr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61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wartości funkcji trygonometrycznych szczególnych kątów, np.: – 90°, 315°, 1080°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rPr>
          <w:trHeight w:val="34"/>
        </w:trPr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stosuje w zadaniach funkcje trygonometryczne – w trudniejszych </w:t>
            </w:r>
            <w:r>
              <w:rPr>
                <w:sz w:val="22"/>
                <w:szCs w:val="22"/>
              </w:rPr>
              <w:t>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rPr>
          <w:trHeight w:val="34"/>
        </w:trPr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kąt, mając daną wartość jednej z jego funkcji trygonometrycznych – w trudniejszych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rPr>
          <w:trHeight w:val="34"/>
        </w:trPr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szkicuje wykres funkcji okresowej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rPr>
          <w:trHeight w:val="34"/>
        </w:trPr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okresowość funkcji do wyznaczania jej wartości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rPr>
          <w:trHeight w:val="34"/>
        </w:trPr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własności funkcji trygonometrycznej do</w:t>
            </w:r>
            <w:r>
              <w:rPr>
                <w:sz w:val="22"/>
                <w:szCs w:val="22"/>
              </w:rPr>
              <w:t xml:space="preserve"> obliczania jej wartości dla kąta o podanej mierze łukowej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rPr>
          <w:trHeight w:val="34"/>
        </w:trPr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na podstawie wykresów funkcji trygonometrycznych szkicuje wykresy funkcji będące efektem wykonania kilku przekształceń; określa ich własności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rPr>
          <w:trHeight w:val="34"/>
        </w:trPr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wartości pozostałych funkcji trygonometryczny</w:t>
            </w:r>
            <w:r>
              <w:rPr>
                <w:sz w:val="22"/>
                <w:szCs w:val="22"/>
              </w:rPr>
              <w:t>ch, znając wartość funkcji tangens lub cotangens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rPr>
          <w:trHeight w:val="34"/>
        </w:trPr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udowadnia tożsamości trygonometryczne, podaje odpowiednie założenia – w trudniejszych zadaniach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rPr>
          <w:trHeight w:val="34"/>
        </w:trPr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stosuje wzory na funkcje trygonometryczne sumy i różnicy kątów, podwojonego kąta do przekształcania wyrażeń, </w:t>
            </w:r>
            <w:r>
              <w:rPr>
                <w:sz w:val="22"/>
                <w:szCs w:val="22"/>
              </w:rPr>
              <w:t>w tym do uzasadniania tożsamości trygonometrycznych – w trudniejszych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rPr>
          <w:trHeight w:val="34"/>
        </w:trPr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wzory redukcyjne do upraszczania wyrażeń i udowadniania tożsamości trygonometrycznych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rPr>
          <w:trHeight w:val="34"/>
        </w:trPr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związki między funkcjami trygonometrycznymi do rozwiązywania trudniejs</w:t>
            </w:r>
            <w:r>
              <w:rPr>
                <w:sz w:val="22"/>
                <w:szCs w:val="22"/>
              </w:rPr>
              <w:t>zych równań trygonometrycznych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rPr>
          <w:trHeight w:val="34"/>
        </w:trPr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wyznaczania zbioru wartości funkcji złożonej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rPr>
          <w:trHeight w:val="34"/>
        </w:trPr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obliczania wartości funkcji trygonometrycznych połowy kąta</w:t>
            </w:r>
          </w:p>
        </w:tc>
      </w:tr>
    </w:tbl>
    <w:p w:rsidR="00F1711A" w:rsidRDefault="00F1711A">
      <w:pPr>
        <w:pStyle w:val="Standard"/>
        <w:rPr>
          <w:rFonts w:hint="eastAsia"/>
          <w:sz w:val="22"/>
          <w:szCs w:val="22"/>
        </w:rPr>
      </w:pPr>
    </w:p>
    <w:p w:rsidR="00F1711A" w:rsidRDefault="00E50514">
      <w:pPr>
        <w:pStyle w:val="Standard"/>
        <w:rPr>
          <w:rFonts w:hint="eastAsia"/>
        </w:rPr>
      </w:pPr>
      <w:r>
        <w:rPr>
          <w:sz w:val="22"/>
          <w:szCs w:val="22"/>
        </w:rPr>
        <w:t>Poziom</w:t>
      </w:r>
      <w:r>
        <w:rPr>
          <w:b/>
          <w:sz w:val="22"/>
          <w:szCs w:val="22"/>
        </w:rPr>
        <w:t xml:space="preserve"> (W)</w:t>
      </w:r>
    </w:p>
    <w:p w:rsidR="00F1711A" w:rsidRDefault="00E50514">
      <w:pPr>
        <w:pStyle w:val="Standard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sz w:val="22"/>
          <w:szCs w:val="22"/>
        </w:rPr>
        <w:t>celującą</w:t>
      </w:r>
      <w:r>
        <w:rPr>
          <w:sz w:val="22"/>
          <w:szCs w:val="22"/>
        </w:rPr>
        <w:t>, jeśli opanował wiedzę i umiejętności z poziomów (K) – (D) oraz: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wyprowadza wzory na funkcje trygonometryczne sumy i różnicy kątów oraz funkcje podwojonego kąta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rozwiązuje zadania dotyczące funkcji trygonometrycznych – </w:t>
            </w:r>
            <w:r>
              <w:rPr>
                <w:sz w:val="22"/>
                <w:szCs w:val="22"/>
              </w:rPr>
              <w:t>o znacznym stopniu trudności</w:t>
            </w:r>
          </w:p>
        </w:tc>
      </w:tr>
    </w:tbl>
    <w:p w:rsidR="00F1711A" w:rsidRDefault="00F1711A">
      <w:pPr>
        <w:pStyle w:val="Standard"/>
        <w:rPr>
          <w:rFonts w:hint="eastAsia"/>
          <w:sz w:val="22"/>
          <w:szCs w:val="22"/>
        </w:rPr>
      </w:pPr>
    </w:p>
    <w:p w:rsidR="00F1711A" w:rsidRDefault="00E50514">
      <w:pPr>
        <w:pStyle w:val="Standard"/>
        <w:rPr>
          <w:rFonts w:hint="eastAsia"/>
        </w:rPr>
      </w:pPr>
      <w:r>
        <w:rPr>
          <w:b/>
          <w:sz w:val="22"/>
          <w:szCs w:val="22"/>
        </w:rPr>
        <w:t>15. GEOMETRIA ANALITYCZNA</w:t>
      </w:r>
    </w:p>
    <w:p w:rsidR="00F1711A" w:rsidRDefault="00E50514">
      <w:pPr>
        <w:pStyle w:val="Standard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sz w:val="22"/>
          <w:szCs w:val="22"/>
        </w:rPr>
        <w:t xml:space="preserve">(K) </w:t>
      </w:r>
      <w:r>
        <w:rPr>
          <w:sz w:val="22"/>
          <w:szCs w:val="22"/>
        </w:rPr>
        <w:t>lub</w:t>
      </w:r>
      <w:r>
        <w:rPr>
          <w:b/>
          <w:sz w:val="22"/>
          <w:szCs w:val="22"/>
        </w:rPr>
        <w:t xml:space="preserve"> (P)</w:t>
      </w:r>
    </w:p>
    <w:p w:rsidR="00F1711A" w:rsidRDefault="00E50514">
      <w:pPr>
        <w:pStyle w:val="Standard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sz w:val="22"/>
          <w:szCs w:val="22"/>
        </w:rPr>
        <w:t xml:space="preserve">dopuszczającą </w:t>
      </w:r>
      <w:r>
        <w:rPr>
          <w:sz w:val="22"/>
          <w:szCs w:val="22"/>
        </w:rPr>
        <w:t xml:space="preserve">lub </w:t>
      </w:r>
      <w:r>
        <w:rPr>
          <w:b/>
          <w:sz w:val="22"/>
          <w:szCs w:val="22"/>
        </w:rPr>
        <w:t>dostateczną</w:t>
      </w:r>
      <w:r>
        <w:rPr>
          <w:sz w:val="22"/>
          <w:szCs w:val="22"/>
        </w:rPr>
        <w:t>, jeśli: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6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odległość między punktami w układzie współrzędnych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wzór na odległość między punktami w zadaniach doty</w:t>
            </w:r>
            <w:r>
              <w:rPr>
                <w:sz w:val="22"/>
                <w:szCs w:val="22"/>
              </w:rPr>
              <w:t>czących wielokątów – w prostych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współrzędne środka odcinka, gdy dane są współrzędne jego końców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wzory na współrzędne środka odcinka do rozwiązywania zadań – w prostych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oblicza odległość punktu od prostej i </w:t>
            </w:r>
            <w:r>
              <w:rPr>
                <w:sz w:val="22"/>
                <w:szCs w:val="22"/>
              </w:rPr>
              <w:t>odległość między prostymi równoległymi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wzór na odległość punktu od prostej do rozwiązywania zadań – w prostych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podaje równanie okręgu o danym środku i promieniu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podaje współrzędne środka i promień okręgu, gdy dane jest jego równan</w:t>
            </w:r>
            <w:r>
              <w:rPr>
                <w:sz w:val="22"/>
                <w:szCs w:val="22"/>
              </w:rPr>
              <w:t>ie w postaci kanonicznej lub postaci ogólnej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wyznacza równanie okręgu o danym środku, przechodzącego przez dany punkt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podaje liczbę punktów wspólnych i określa wzajemne położenie okręgu i prostej opisanych danymi równaniami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rozwiązuje algebraicznie </w:t>
            </w:r>
            <w:r>
              <w:rPr>
                <w:sz w:val="22"/>
                <w:szCs w:val="22"/>
              </w:rPr>
              <w:t>układy równań drugiego stopnia i podaje ich interpretację geometryczną w prostych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wykonuje działania na wektorach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sprawdza, czy wektory są równoległe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działania na wektorach do badania współliniowości punktów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stosuje działania na </w:t>
            </w:r>
            <w:r>
              <w:rPr>
                <w:sz w:val="22"/>
                <w:szCs w:val="22"/>
              </w:rPr>
              <w:t>wektorach do podziału odcinka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wykorzystuje działania na wektorach do rozwiązywania prostych zadań dotyczących wielokątów w układzie współrzędnych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rozpoznaje figury osiowosymetryczne i środkowosymetryczne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współrzędne obrazów punktów oraz wierz</w:t>
            </w:r>
            <w:r>
              <w:rPr>
                <w:sz w:val="22"/>
                <w:szCs w:val="22"/>
              </w:rPr>
              <w:t>chołków wielokąta w symetrii osiowej lub symetrii środkowej względem osi układu współrzędnych lub początku układu współrzędnych</w:t>
            </w:r>
          </w:p>
        </w:tc>
      </w:tr>
    </w:tbl>
    <w:p w:rsidR="00F1711A" w:rsidRDefault="00F1711A">
      <w:pPr>
        <w:pStyle w:val="Standard"/>
        <w:rPr>
          <w:rFonts w:hint="eastAsia"/>
          <w:sz w:val="22"/>
          <w:szCs w:val="22"/>
        </w:rPr>
      </w:pPr>
    </w:p>
    <w:p w:rsidR="00F1711A" w:rsidRDefault="00E50514">
      <w:pPr>
        <w:pStyle w:val="Standard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sz w:val="22"/>
          <w:szCs w:val="22"/>
        </w:rPr>
        <w:t>(R)</w:t>
      </w:r>
      <w:r>
        <w:rPr>
          <w:sz w:val="22"/>
          <w:szCs w:val="22"/>
        </w:rPr>
        <w:t xml:space="preserve"> lub </w:t>
      </w:r>
      <w:r>
        <w:rPr>
          <w:b/>
          <w:sz w:val="22"/>
          <w:szCs w:val="22"/>
        </w:rPr>
        <w:t>(D)</w:t>
      </w:r>
    </w:p>
    <w:p w:rsidR="00F1711A" w:rsidRDefault="00E50514">
      <w:pPr>
        <w:pStyle w:val="Standard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sz w:val="22"/>
          <w:szCs w:val="22"/>
        </w:rPr>
        <w:t>dobrą</w:t>
      </w:r>
      <w:r>
        <w:rPr>
          <w:sz w:val="22"/>
          <w:szCs w:val="22"/>
        </w:rPr>
        <w:t xml:space="preserve"> lub </w:t>
      </w:r>
      <w:r>
        <w:rPr>
          <w:b/>
          <w:sz w:val="22"/>
          <w:szCs w:val="22"/>
        </w:rPr>
        <w:t>bardzo dobrą</w:t>
      </w:r>
      <w:r>
        <w:rPr>
          <w:sz w:val="22"/>
          <w:szCs w:val="22"/>
        </w:rPr>
        <w:t>, jeśli opanował poziomy (K) i (P) oraz dodatkowo:</w:t>
      </w: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2"/>
      </w:tblGrid>
      <w:tr w:rsidR="00F1711A">
        <w:tblPrEx>
          <w:tblCellMar>
            <w:top w:w="0" w:type="dxa"/>
            <w:bottom w:w="0" w:type="dxa"/>
          </w:tblCellMar>
        </w:tblPrEx>
        <w:tc>
          <w:tcPr>
            <w:tcW w:w="9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rów</w:t>
            </w:r>
            <w:r>
              <w:rPr>
                <w:sz w:val="22"/>
                <w:szCs w:val="22"/>
              </w:rPr>
              <w:t>nanie krzywej, do której należą punkty równo odległe od punktu i od prostej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własności stycznej do okręgu do rozwiązywania zadań – w trudniejszych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stosuje wzory na odległość między punktami i środek odcinka do rozwiązywania zadań </w:t>
            </w:r>
            <w:r>
              <w:rPr>
                <w:sz w:val="22"/>
                <w:szCs w:val="22"/>
              </w:rPr>
              <w:t>dotyczących wielokątów – w trudniejszych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sprawdza, czy dane równanie jest równaniem okręgu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wartość parametru tak, aby dane równanie opisywało okrąg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równanie okręgu do rozwiązywania zadań, w tym do wyznaczania równania okręgu</w:t>
            </w:r>
            <w:r>
              <w:rPr>
                <w:sz w:val="22"/>
                <w:szCs w:val="22"/>
              </w:rPr>
              <w:t xml:space="preserve"> opisanego na trójkącie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określa wzajemne położenie dwóch okręgów opisanych danymi równaniami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wykorzystuje wzajemne położenie okręgów w prostych zadaniach z parametrem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układy równań drugiego stopnia w zadaniach różnych typów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stosuje w zadaniach </w:t>
            </w:r>
            <w:r>
              <w:rPr>
                <w:sz w:val="22"/>
                <w:szCs w:val="22"/>
              </w:rPr>
              <w:t>działania na wektorach oraz ich interpretację geometryczną – w bardziej złożonych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własności symetrii osiowej i symetrii środkowej – w bardziej złożonych przypadkach</w:t>
            </w:r>
          </w:p>
        </w:tc>
      </w:tr>
    </w:tbl>
    <w:p w:rsidR="00F1711A" w:rsidRDefault="00F1711A">
      <w:pPr>
        <w:pStyle w:val="Standard"/>
        <w:rPr>
          <w:rFonts w:hint="eastAsia"/>
          <w:sz w:val="22"/>
          <w:szCs w:val="22"/>
        </w:rPr>
      </w:pPr>
    </w:p>
    <w:p w:rsidR="00F1711A" w:rsidRDefault="00E50514">
      <w:pPr>
        <w:pStyle w:val="Standard"/>
        <w:rPr>
          <w:rFonts w:hint="eastAsia"/>
        </w:rPr>
      </w:pPr>
      <w:r>
        <w:rPr>
          <w:sz w:val="22"/>
          <w:szCs w:val="22"/>
        </w:rPr>
        <w:t>Poziom</w:t>
      </w:r>
      <w:r>
        <w:rPr>
          <w:b/>
          <w:sz w:val="22"/>
          <w:szCs w:val="22"/>
        </w:rPr>
        <w:t xml:space="preserve"> (W)</w:t>
      </w:r>
    </w:p>
    <w:p w:rsidR="00F1711A" w:rsidRDefault="00E50514">
      <w:pPr>
        <w:pStyle w:val="Standard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sz w:val="22"/>
          <w:szCs w:val="22"/>
        </w:rPr>
        <w:t>celującą</w:t>
      </w:r>
      <w:r>
        <w:rPr>
          <w:sz w:val="22"/>
          <w:szCs w:val="22"/>
        </w:rPr>
        <w:t>, jeśli opanował wiedzę i umiejętności z poziomów (K) – (D) oraz:</w:t>
      </w:r>
    </w:p>
    <w:tbl>
      <w:tblPr>
        <w:tblW w:w="89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15"/>
      </w:tblGrid>
      <w:tr w:rsidR="00F1711A">
        <w:tblPrEx>
          <w:tblCellMar>
            <w:top w:w="0" w:type="dxa"/>
            <w:bottom w:w="0" w:type="dxa"/>
          </w:tblCellMar>
        </w:tblPrEx>
        <w:tc>
          <w:tcPr>
            <w:tcW w:w="8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wykorzystuje działania na wektorach w zadaniach na dowodzenie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8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zadania z geometrii analitycznej o znacznym stopniu trudności</w:t>
            </w:r>
          </w:p>
        </w:tc>
      </w:tr>
    </w:tbl>
    <w:p w:rsidR="00F1711A" w:rsidRDefault="00F1711A">
      <w:pPr>
        <w:pStyle w:val="Standard"/>
        <w:rPr>
          <w:rFonts w:hint="eastAsia"/>
          <w:sz w:val="22"/>
          <w:szCs w:val="22"/>
        </w:rPr>
      </w:pPr>
    </w:p>
    <w:p w:rsidR="00F1711A" w:rsidRDefault="00E50514">
      <w:pPr>
        <w:pStyle w:val="Nagwek2"/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16. CIĄGI</w:t>
      </w:r>
    </w:p>
    <w:p w:rsidR="00F1711A" w:rsidRDefault="00E50514">
      <w:pPr>
        <w:pStyle w:val="Standard"/>
        <w:rPr>
          <w:rFonts w:hint="eastAsia"/>
        </w:rPr>
      </w:pPr>
      <w:r>
        <w:rPr>
          <w:sz w:val="22"/>
          <w:szCs w:val="22"/>
        </w:rPr>
        <w:t>Poziom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(K) </w:t>
      </w:r>
      <w:r>
        <w:rPr>
          <w:sz w:val="22"/>
          <w:szCs w:val="22"/>
        </w:rPr>
        <w:t>lub</w:t>
      </w:r>
      <w:r>
        <w:rPr>
          <w:b/>
          <w:sz w:val="22"/>
          <w:szCs w:val="22"/>
        </w:rPr>
        <w:t xml:space="preserve"> (P)</w:t>
      </w:r>
    </w:p>
    <w:p w:rsidR="00F1711A" w:rsidRDefault="00E50514">
      <w:pPr>
        <w:pStyle w:val="Standard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sz w:val="22"/>
          <w:szCs w:val="22"/>
        </w:rPr>
        <w:t xml:space="preserve">dopuszczającą </w:t>
      </w:r>
      <w:r>
        <w:rPr>
          <w:sz w:val="22"/>
          <w:szCs w:val="22"/>
        </w:rPr>
        <w:t xml:space="preserve">lub </w:t>
      </w:r>
      <w:r>
        <w:rPr>
          <w:b/>
          <w:sz w:val="22"/>
          <w:szCs w:val="22"/>
        </w:rPr>
        <w:t>dostateczną</w:t>
      </w:r>
      <w:r>
        <w:rPr>
          <w:sz w:val="22"/>
          <w:szCs w:val="22"/>
        </w:rPr>
        <w:t>, jeśli: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63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kolejne wyrazy ciągu, gdy danych jest kilka jego początkowych wyrazów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wyrazy ciągu opisanego słownie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szkicuje wykres ciągu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wzór ogólny ciągu, gdy danych</w:t>
            </w:r>
            <w:r>
              <w:rPr>
                <w:sz w:val="22"/>
                <w:szCs w:val="22"/>
              </w:rPr>
              <w:t xml:space="preserve"> jest kilka jego początkowych wyrazów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wyrazy ciągu spełniające dany warunek (np. przyjmujące daną wartość) – w prostych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podaje przykłady ciągów monotonicznych, których wyrazy spełniają podane warunki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uzasadnia, że dany ciąg nie jes</w:t>
            </w:r>
            <w:r>
              <w:rPr>
                <w:sz w:val="22"/>
                <w:szCs w:val="22"/>
              </w:rPr>
              <w:t>t monotoniczny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wyznacza wyraz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  <m:r>
                    <w:rPr>
                      <w:rFonts w:ascii="Cambria Math" w:hAnsi="Cambria Math"/>
                    </w:rPr>
                    <m:t>+1</m:t>
                  </m:r>
                </m:sub>
              </m:sSub>
            </m:oMath>
            <w:r>
              <w:rPr>
                <w:sz w:val="22"/>
                <w:szCs w:val="22"/>
              </w:rPr>
              <w:t>ciągu określonego wzorem ogólnym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bada monotoniczność ciągu – w prostszych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wyznacza początkowe wyrazy ciągu określonego wzorem ogólnym lub określonego rekurencyjnie oraz wzór rekurencyjny ciągu, gdy dany jest wzó</w:t>
            </w:r>
            <w:r>
              <w:rPr>
                <w:sz w:val="22"/>
                <w:szCs w:val="22"/>
              </w:rPr>
              <w:t>r ogólny – w prostych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wzór ogólny ciągu, będącego sumą, różnicą, iloczynem lub ilorazem danych ciągów, i bada ich monotoniczność – w prostych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podaje przykłady ciągów arytmetycznych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wyznacza wyrazy ciągu arytmetycznego, </w:t>
            </w:r>
            <w:r>
              <w:rPr>
                <w:sz w:val="22"/>
                <w:szCs w:val="22"/>
              </w:rPr>
              <w:t>gdy dane są jego pierwszy wyraz i różnica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określa monotoniczność ciągu arytmetycznego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wzór ogólny ciągu arytmetycznego, gdy dane są dwa jego wyrazy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związek między trzema kolejnymi wyrazami ciągu arytmetycznego do wyznaczania wyrazów c</w:t>
            </w:r>
            <w:r>
              <w:rPr>
                <w:sz w:val="22"/>
                <w:szCs w:val="22"/>
              </w:rPr>
              <w:t>iągu arytmetycznego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sprawdza, czy dany ciąg jest arytmetyczny – w prostych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oblicza sumę </w:t>
            </w:r>
            <w:r>
              <w:rPr>
                <w:i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 początkowych wyrazów ciągu arytmetycznego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podaje przykłady ciągów geometrycznych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wyrazy ciągu geometrycznego, gdy dane są jego pierwszy wyra</w:t>
            </w:r>
            <w:r>
              <w:rPr>
                <w:sz w:val="22"/>
                <w:szCs w:val="22"/>
              </w:rPr>
              <w:t>z i iloraz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wzór ogólny ciągu geometrycznego, gdy dane są dwa jego wyrazy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określa monotoniczność ciągu geometrycznego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sprawdza, czy dany ciąg jest geometryczny – w prostych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oblicza sumę </w:t>
            </w:r>
            <w:r>
              <w:rPr>
                <w:i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 początkowych wyrazów ciągu geometrycznego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wartości niewiadomych tak, aby wraz z danymi liczbami tworzyły ciąg arytmetyczny lub geometryczny – w prostych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własności ciągu arytmetycznego i ciągu geometrycznego w zadaniach różne</w:t>
            </w:r>
            <w:r>
              <w:rPr>
                <w:sz w:val="22"/>
                <w:szCs w:val="22"/>
              </w:rPr>
              <w:t>go typu – w prostych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wysokość kapitału przy różnych okresach kapitalizacji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oprocentowanie lokaty i okres oszczędzania – w prostych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ustala na podstawie wykresu, czy dany ciąg ma granicę, a w przypadku ciągu zbieżne</w:t>
            </w:r>
            <w:r>
              <w:rPr>
                <w:sz w:val="22"/>
                <w:szCs w:val="22"/>
              </w:rPr>
              <w:t>go podaje jej wartość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ustala liczbę wyrazów danego ciągu oddalonych od danej liczby o podaną wartość oraz liczbę wyrazów większych (mniejszych) od danej wartości – w prostych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podaje granice ciągów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</m:oMath>
            <w:r>
              <w:rPr>
                <w:sz w:val="22"/>
                <w:szCs w:val="22"/>
              </w:rPr>
              <w:t xml:space="preserve">, gdy </w:t>
            </w:r>
            <m:oMath>
              <m:r>
                <w:rPr>
                  <w:rFonts w:ascii="Cambria Math" w:hAnsi="Cambria Math"/>
                </w:rPr>
                <m:t>q</m:t>
              </m:r>
              <m:r>
                <w:rPr>
                  <w:rFonts w:ascii="Cambria Math" w:hAnsi="Cambria Math"/>
                </w:rPr>
                <m:t>∈(-1;1)</m:t>
              </m:r>
            </m:oMath>
            <w:r>
              <w:rPr>
                <w:sz w:val="22"/>
                <w:szCs w:val="22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k</m:t>
                      </m:r>
                    </m:sup>
                  </m:sSup>
                </m:den>
              </m:f>
            </m:oMath>
            <w:r>
              <w:rPr>
                <w:sz w:val="22"/>
                <w:szCs w:val="22"/>
              </w:rPr>
              <w:t xml:space="preserve">, gdy </w:t>
            </w:r>
            <w:r>
              <w:rPr>
                <w:i/>
                <w:sz w:val="22"/>
                <w:szCs w:val="22"/>
              </w:rPr>
              <w:t xml:space="preserve">k </w:t>
            </w:r>
            <w:r>
              <w:rPr>
                <w:sz w:val="22"/>
                <w:szCs w:val="22"/>
              </w:rPr>
              <w:t xml:space="preserve">&gt; 0 oraz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rad>
                <m:radPr>
                  <m:ctrlPr>
                    <w:rPr>
                      <w:rFonts w:ascii="Cambria Math" w:hAnsi="Cambria Math"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n</m:t>
                  </m:r>
                </m:deg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rad>
              <m: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gdya</m:t>
              </m:r>
              <m:r>
                <w:rPr>
                  <w:rFonts w:ascii="Cambria Math" w:hAnsi="Cambria Math"/>
                </w:rPr>
                <m:t>&gt;0</m:t>
              </m:r>
            </m:oMath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rozpoznaje ciąg </w:t>
            </w:r>
            <w:r>
              <w:rPr>
                <w:sz w:val="22"/>
                <w:szCs w:val="22"/>
              </w:rPr>
              <w:t>rozbieżny na podstawie wykresu i określa, czy ma on granicę niewłaściwą, czy nie ma granicy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stosuje twierdzenie o rozbieżności ciągów: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</m:oMath>
            <w:r>
              <w:rPr>
                <w:sz w:val="22"/>
                <w:szCs w:val="22"/>
              </w:rPr>
              <w:t xml:space="preserve">dla </w:t>
            </w:r>
            <m:oMath>
              <m:r>
                <w:rPr>
                  <w:rFonts w:ascii="Cambria Math" w:hAnsi="Cambria Math"/>
                </w:rPr>
                <m:t>q</m:t>
              </m:r>
              <m:r>
                <w:rPr>
                  <w:rFonts w:ascii="Cambria Math" w:hAnsi="Cambria Math"/>
                </w:rPr>
                <m:t>&gt;1</m:t>
              </m:r>
            </m:oMath>
            <w:r>
              <w:rPr>
                <w:sz w:val="22"/>
                <w:szCs w:val="22"/>
              </w:rPr>
              <w:t xml:space="preserve"> oraz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</w:rPr>
                    <m:t>k</m:t>
                  </m:r>
                </m:sup>
              </m:sSup>
            </m:oMath>
            <w:r>
              <w:rPr>
                <w:sz w:val="22"/>
                <w:szCs w:val="22"/>
              </w:rPr>
              <w:t xml:space="preserve"> dla </w:t>
            </w:r>
            <m:oMath>
              <m:r>
                <w:rPr>
                  <w:rFonts w:ascii="Cambria Math" w:hAnsi="Cambria Math"/>
                </w:rPr>
                <m:t>k</m:t>
              </m:r>
              <m:r>
                <w:rPr>
                  <w:rFonts w:ascii="Cambria Math" w:hAnsi="Cambria Math"/>
                </w:rPr>
                <m:t>&gt;0</m:t>
              </m:r>
            </m:oMath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granice ciągów, korzystając z twierdzeń o granicach ciągów zbieżnych i rozbieżnych – w prostych</w:t>
            </w:r>
            <w:r>
              <w:rPr>
                <w:sz w:val="22"/>
                <w:szCs w:val="22"/>
              </w:rPr>
              <w:t xml:space="preserve">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sprawdza, czy dany szereg geometryczny jest zbieżny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sumę szeregu geometrycznego – w prostych przypadkach</w:t>
            </w:r>
          </w:p>
        </w:tc>
      </w:tr>
    </w:tbl>
    <w:p w:rsidR="00F1711A" w:rsidRDefault="00F1711A">
      <w:pPr>
        <w:pStyle w:val="Standard"/>
        <w:rPr>
          <w:rFonts w:hint="eastAsia"/>
          <w:sz w:val="22"/>
          <w:szCs w:val="22"/>
        </w:rPr>
      </w:pPr>
    </w:p>
    <w:p w:rsidR="00F1711A" w:rsidRDefault="00E50514">
      <w:pPr>
        <w:pStyle w:val="Standard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sz w:val="22"/>
          <w:szCs w:val="22"/>
        </w:rPr>
        <w:t>(R)</w:t>
      </w:r>
      <w:r>
        <w:rPr>
          <w:sz w:val="22"/>
          <w:szCs w:val="22"/>
        </w:rPr>
        <w:t xml:space="preserve"> lub </w:t>
      </w:r>
      <w:r>
        <w:rPr>
          <w:b/>
          <w:sz w:val="22"/>
          <w:szCs w:val="22"/>
        </w:rPr>
        <w:t>(D)</w:t>
      </w:r>
    </w:p>
    <w:p w:rsidR="00F1711A" w:rsidRDefault="00E50514">
      <w:pPr>
        <w:pStyle w:val="Standard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sz w:val="22"/>
          <w:szCs w:val="22"/>
        </w:rPr>
        <w:t>dobrą</w:t>
      </w:r>
      <w:r>
        <w:rPr>
          <w:sz w:val="22"/>
          <w:szCs w:val="22"/>
        </w:rPr>
        <w:t xml:space="preserve"> lub </w:t>
      </w:r>
      <w:r>
        <w:rPr>
          <w:b/>
          <w:sz w:val="22"/>
          <w:szCs w:val="22"/>
        </w:rPr>
        <w:t>bardzo dobrą</w:t>
      </w:r>
      <w:r>
        <w:rPr>
          <w:sz w:val="22"/>
          <w:szCs w:val="22"/>
        </w:rPr>
        <w:t>, jeśli opanował poziomy (K) i (P) oraz dodatkowo: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wzó</w:t>
            </w:r>
            <w:r>
              <w:rPr>
                <w:sz w:val="22"/>
                <w:szCs w:val="22"/>
              </w:rPr>
              <w:t>r ogólny ciągu spełniającego podane warunki – w trudniejszych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bada monotoniczność ciągów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zadania z parametrem dotyczące monotoniczności ciągu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rozwiązuje zadania o podwyższonym stopniu trudności związane ze wzorem rekurencyjnym </w:t>
            </w:r>
            <w:r>
              <w:rPr>
                <w:sz w:val="22"/>
                <w:szCs w:val="22"/>
              </w:rPr>
              <w:t>ciągu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równania z zastosowaniem wzorów na sumę wyrazów ciągu arytmetycznego i geometrycznego – w trudniejszych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związek między trzema kolejnymi wyrazami ciągu geometrycznego w zadaniach różnego typu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>uzasadnia wzory, stosuj</w:t>
            </w:r>
            <w:r>
              <w:rPr>
                <w:sz w:val="22"/>
                <w:szCs w:val="22"/>
              </w:rPr>
              <w:t xml:space="preserve">ąc wzór na sumę </w:t>
            </w:r>
            <w:r>
              <w:rPr>
                <w:i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 początkowych wyrazów ciągu arytmetycznego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lastRenderedPageBreak/>
              <w:t xml:space="preserve">stosuje w zadaniach własności ciągów arytmetycznego i geometrycznego, w tym wzory na sumę </w:t>
            </w:r>
            <w:r>
              <w:rPr>
                <w:i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 początkowych wyrazów tych ciągów, również osadzonych w kontekście praktycznym i na dowodzenie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</w:t>
            </w:r>
            <w:r>
              <w:rPr>
                <w:sz w:val="22"/>
                <w:szCs w:val="22"/>
              </w:rPr>
              <w:t>je zadania związane z lokatami dotyczące okresu oszczędzania, wysokości oprocentowania oraz zadania związane z kredytami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granice ciągów, korzystając z twierdzeń o granicach ciągów zbieżnych i rozbieżnych – w trudniejszych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wzor</w:t>
            </w:r>
            <w:r>
              <w:rPr>
                <w:sz w:val="22"/>
                <w:szCs w:val="22"/>
              </w:rPr>
              <w:t>y na sumę wyrazów ciągu arytmetycznego do obliczania granic ciągów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uzasadnia, że dany ciąg nie ma granicy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granice ciągów, stosując twierdzenie o trzech ciągach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wartości zmiennej, dla której szereg jest zbieżny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stosuje wzór na sumę </w:t>
            </w:r>
            <w:r>
              <w:rPr>
                <w:sz w:val="22"/>
                <w:szCs w:val="22"/>
              </w:rPr>
              <w:t>szeregu geometrycznego w zadaniach dotyczących własności ciągów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64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równania, stosując wzór na sumę szeregu geometrycznego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6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zamienia ułamek okresowy na ułamek zwykły</w:t>
            </w:r>
          </w:p>
        </w:tc>
      </w:tr>
    </w:tbl>
    <w:p w:rsidR="00F1711A" w:rsidRDefault="00F1711A">
      <w:pPr>
        <w:pStyle w:val="Standard"/>
        <w:rPr>
          <w:rFonts w:hint="eastAsia"/>
          <w:sz w:val="22"/>
          <w:szCs w:val="22"/>
        </w:rPr>
      </w:pPr>
    </w:p>
    <w:p w:rsidR="00F1711A" w:rsidRDefault="00E50514">
      <w:pPr>
        <w:pStyle w:val="Standard"/>
        <w:rPr>
          <w:rFonts w:hint="eastAsia"/>
        </w:rPr>
      </w:pPr>
      <w:r>
        <w:rPr>
          <w:sz w:val="22"/>
          <w:szCs w:val="22"/>
        </w:rPr>
        <w:t>Poziom</w:t>
      </w:r>
      <w:r>
        <w:rPr>
          <w:b/>
          <w:sz w:val="22"/>
          <w:szCs w:val="22"/>
        </w:rPr>
        <w:t xml:space="preserve"> (W)</w:t>
      </w:r>
    </w:p>
    <w:p w:rsidR="00F1711A" w:rsidRDefault="00E50514">
      <w:pPr>
        <w:pStyle w:val="Standard"/>
        <w:rPr>
          <w:rFonts w:hint="eastAsia"/>
        </w:rPr>
      </w:pPr>
      <w:r>
        <w:rPr>
          <w:color w:val="000000"/>
          <w:sz w:val="22"/>
          <w:szCs w:val="22"/>
        </w:rPr>
        <w:t>Uczeń</w:t>
      </w:r>
      <w:r>
        <w:rPr>
          <w:sz w:val="22"/>
          <w:szCs w:val="22"/>
        </w:rPr>
        <w:t xml:space="preserve"> otrzymuje ocenę </w:t>
      </w:r>
      <w:r>
        <w:rPr>
          <w:b/>
          <w:sz w:val="22"/>
          <w:szCs w:val="22"/>
        </w:rPr>
        <w:t>celującą</w:t>
      </w:r>
      <w:r>
        <w:rPr>
          <w:sz w:val="22"/>
          <w:szCs w:val="22"/>
        </w:rPr>
        <w:t xml:space="preserve">, jeśli opanował wiedzę i umiejętności </w:t>
      </w:r>
      <w:r>
        <w:rPr>
          <w:sz w:val="22"/>
          <w:szCs w:val="22"/>
        </w:rPr>
        <w:t>z poziomów (K) – (D) oraz: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zadania o podwyższonym stopniu trudności dotyczące ciągów, w szczególności monotoniczności ciągu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66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zadania dotyczące długości krzywych, stosując wzór na sumę szeregu geometrycznego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wyznacza granicę ciągu w </w:t>
            </w:r>
            <w:r>
              <w:rPr>
                <w:sz w:val="22"/>
                <w:szCs w:val="22"/>
              </w:rPr>
              <w:t>zależności od wartości parametru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uzasadnia istnienie granicy niewłaściwej</w:t>
            </w:r>
          </w:p>
        </w:tc>
      </w:tr>
    </w:tbl>
    <w:p w:rsidR="00F1711A" w:rsidRDefault="00F1711A">
      <w:pPr>
        <w:pStyle w:val="Standard"/>
        <w:rPr>
          <w:rFonts w:hint="eastAsia"/>
          <w:sz w:val="22"/>
          <w:szCs w:val="22"/>
        </w:rPr>
      </w:pPr>
    </w:p>
    <w:p w:rsidR="00F1711A" w:rsidRDefault="00F1711A">
      <w:pPr>
        <w:pStyle w:val="Standard"/>
        <w:rPr>
          <w:rFonts w:hint="eastAsia"/>
          <w:sz w:val="22"/>
          <w:szCs w:val="22"/>
        </w:rPr>
      </w:pPr>
    </w:p>
    <w:p w:rsidR="00F1711A" w:rsidRDefault="00E50514">
      <w:pPr>
        <w:pStyle w:val="Nagwek1"/>
        <w:rPr>
          <w:rFonts w:hint="eastAsia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17. RACHUNEK RÓŻNICZKOWY</w:t>
      </w:r>
    </w:p>
    <w:p w:rsidR="00F1711A" w:rsidRDefault="00E50514">
      <w:pPr>
        <w:pStyle w:val="Standard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sz w:val="22"/>
          <w:szCs w:val="22"/>
        </w:rPr>
        <w:t xml:space="preserve">(K) </w:t>
      </w:r>
      <w:r>
        <w:rPr>
          <w:sz w:val="22"/>
          <w:szCs w:val="22"/>
        </w:rPr>
        <w:t>lub</w:t>
      </w:r>
      <w:r>
        <w:rPr>
          <w:b/>
          <w:sz w:val="22"/>
          <w:szCs w:val="22"/>
        </w:rPr>
        <w:t xml:space="preserve"> (P)</w:t>
      </w:r>
    </w:p>
    <w:p w:rsidR="00F1711A" w:rsidRDefault="00E50514">
      <w:pPr>
        <w:pStyle w:val="Standard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sz w:val="22"/>
          <w:szCs w:val="22"/>
        </w:rPr>
        <w:t xml:space="preserve">dopuszczającą </w:t>
      </w:r>
      <w:r>
        <w:rPr>
          <w:sz w:val="22"/>
          <w:szCs w:val="22"/>
        </w:rPr>
        <w:t xml:space="preserve">lub </w:t>
      </w:r>
      <w:r>
        <w:rPr>
          <w:b/>
          <w:sz w:val="22"/>
          <w:szCs w:val="22"/>
        </w:rPr>
        <w:t>dostateczną</w:t>
      </w:r>
      <w:r>
        <w:rPr>
          <w:sz w:val="22"/>
          <w:szCs w:val="22"/>
        </w:rPr>
        <w:t>, jeśli: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6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uzasadnia, że funkcja nie ma granicy w punkcie. np. na podstawie jej wykre</w:t>
            </w:r>
            <w:r>
              <w:rPr>
                <w:sz w:val="22"/>
                <w:szCs w:val="22"/>
              </w:rPr>
              <w:t>su – w prostych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granice funkcji w punkcie, korzystając z twierdzeń o granicach – w prostych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granice jednostronne funkcji w punkcie – w prostych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wyznacza granice niewłaściwe funkcji w punkcie – w </w:t>
            </w:r>
            <w:r>
              <w:rPr>
                <w:sz w:val="22"/>
                <w:szCs w:val="22"/>
              </w:rPr>
              <w:t>prostych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granice niewłaściwe jednostronne funkcji w punkcie – w prostych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granice funkcji w nieskończoności – w prostych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równania asymptot pionowych i poziomych wykresu funkcji – w prostych p</w:t>
            </w:r>
            <w:r>
              <w:rPr>
                <w:sz w:val="22"/>
                <w:szCs w:val="22"/>
              </w:rPr>
              <w:t>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sprawdza, czy funkcja jest ciągła w danym punkcie – w prostych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</w:rPr>
            </w:pPr>
            <w:r>
              <w:rPr>
                <w:color w:val="000000"/>
                <w:sz w:val="22"/>
                <w:szCs w:val="22"/>
              </w:rPr>
              <w:t xml:space="preserve">oblicza pochodną funkcji w punkcie, korzystając z jej definicji – </w:t>
            </w:r>
            <w:r>
              <w:rPr>
                <w:sz w:val="22"/>
                <w:szCs w:val="22"/>
              </w:rPr>
              <w:t>w prostych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stosuje interpretację geometryczną pochodnej funkcji w punkcie do wyznaczania </w:t>
            </w:r>
            <w:r>
              <w:rPr>
                <w:sz w:val="22"/>
                <w:szCs w:val="22"/>
              </w:rPr>
              <w:t xml:space="preserve">współczynnika kierunkowego stycznej do wykresu funkcji w punkcie i oblicza miarę kąta, jaki ta styczna tworzy z osią </w:t>
            </w:r>
            <w:r>
              <w:rPr>
                <w:i/>
                <w:sz w:val="22"/>
                <w:szCs w:val="22"/>
              </w:rPr>
              <w:t xml:space="preserve">OX – </w:t>
            </w:r>
            <w:r>
              <w:rPr>
                <w:sz w:val="22"/>
                <w:szCs w:val="22"/>
              </w:rPr>
              <w:t>w prostych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równanie stycznej do wykresu funkcji w danym punkcie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funkcję pochodną wielomianów i oblicza</w:t>
            </w:r>
            <w:r>
              <w:rPr>
                <w:sz w:val="22"/>
                <w:szCs w:val="22"/>
              </w:rPr>
              <w:t xml:space="preserve"> jej wartość w danym punkcie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twierdzenie o pochodnej sumy, różnicy, iloczynu i ilorazu funkcji do wyznaczania funkcji pochodnej oraz pochodnej funkcji – w prostych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wyznacza wzór funkcji złożonej i jej dziedzinę – w prostych </w:t>
            </w:r>
            <w:r>
              <w:rPr>
                <w:color w:val="000000"/>
                <w:sz w:val="22"/>
                <w:szCs w:val="22"/>
              </w:rPr>
              <w:t>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pochodną funkcji do wyznaczania prędkości oraz przyspieszenia poruszających się ciał – w prostych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korzysta z własności pochodnej do wyznaczania przedziałów monotoniczności wielomianów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podaje ekstremum funkcji, korzystając</w:t>
            </w:r>
            <w:r>
              <w:rPr>
                <w:sz w:val="22"/>
                <w:szCs w:val="22"/>
              </w:rPr>
              <w:t xml:space="preserve"> z jej wykresu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wyznacza ekstrema wielomianów, stosując warunki konieczny i wystarczający istnienia ekstremum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uzasadnia, że dany wielomian nie ma ekstremum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najmniejszą i największą wartość wielomianu w przedziale domkniętym – w prostych przypadk</w:t>
            </w:r>
            <w:r>
              <w:rPr>
                <w:sz w:val="22"/>
                <w:szCs w:val="22"/>
              </w:rPr>
              <w:t>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zadania optymalizacyjne – w prostych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podaje i stosuje schemat badania własności funkcji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szkicuje wykres wielomianu na podstawie badania jego własności</w:t>
            </w:r>
          </w:p>
        </w:tc>
      </w:tr>
    </w:tbl>
    <w:p w:rsidR="00F1711A" w:rsidRDefault="00F1711A">
      <w:pPr>
        <w:pStyle w:val="Standard"/>
        <w:rPr>
          <w:rFonts w:hint="eastAsia"/>
          <w:sz w:val="22"/>
          <w:szCs w:val="22"/>
        </w:rPr>
      </w:pPr>
    </w:p>
    <w:p w:rsidR="00F1711A" w:rsidRDefault="00E50514">
      <w:pPr>
        <w:pStyle w:val="Standard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sz w:val="22"/>
          <w:szCs w:val="22"/>
        </w:rPr>
        <w:t>(R)</w:t>
      </w:r>
      <w:r>
        <w:rPr>
          <w:sz w:val="22"/>
          <w:szCs w:val="22"/>
        </w:rPr>
        <w:t xml:space="preserve"> lub </w:t>
      </w:r>
      <w:r>
        <w:rPr>
          <w:b/>
          <w:sz w:val="22"/>
          <w:szCs w:val="22"/>
        </w:rPr>
        <w:t>(D)</w:t>
      </w:r>
    </w:p>
    <w:p w:rsidR="00F1711A" w:rsidRDefault="00E50514">
      <w:pPr>
        <w:pStyle w:val="Standard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sz w:val="22"/>
          <w:szCs w:val="22"/>
        </w:rPr>
        <w:t>dobrą</w:t>
      </w:r>
      <w:r>
        <w:rPr>
          <w:sz w:val="22"/>
          <w:szCs w:val="22"/>
        </w:rPr>
        <w:t xml:space="preserve"> lub </w:t>
      </w:r>
      <w:r>
        <w:rPr>
          <w:b/>
          <w:sz w:val="22"/>
          <w:szCs w:val="22"/>
        </w:rPr>
        <w:t>bardzo dobrą</w:t>
      </w:r>
      <w:r>
        <w:rPr>
          <w:sz w:val="22"/>
          <w:szCs w:val="22"/>
        </w:rPr>
        <w:t>, jeśli opanował poziomy (K) i (P) oraz dodatkowo: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uzasadnia, że funkcja nie ma granicy w punkcie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uzasadnia, że dana liczba jest granicą funkcji w punkcie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>oblicza granicę funkcji w punkcie, również gra</w:t>
            </w:r>
            <w:r>
              <w:rPr>
                <w:sz w:val="22"/>
                <w:szCs w:val="22"/>
              </w:rPr>
              <w:t xml:space="preserve">nice funkcji w postaci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 w:hAnsi="Cambria Math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f</m:t>
                  </m:r>
                  <m: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</w:rPr>
                    <m:t>)</m:t>
                  </m:r>
                </m:e>
              </m:rad>
            </m:oMath>
            <w:r>
              <w:rPr>
                <w:sz w:val="22"/>
                <w:szCs w:val="22"/>
              </w:rPr>
              <w:t xml:space="preserve"> oraz granice funkcji trygonometrycznych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twierdzenie o związku między wartościami granic jednostronnych w punkcie a granicą funkcji w punkcie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granice funkcji w nieskończoności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wyznacza równania asymptot pionowych </w:t>
            </w:r>
            <w:r>
              <w:rPr>
                <w:sz w:val="22"/>
                <w:szCs w:val="22"/>
              </w:rPr>
              <w:t>i poziomych wykresu funkcji – w trudniejszych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bada ciągłość funkcji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wartości parametrów, dla których funkcja jest ciągła w danym punkcie lub przedziale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stosuje własność Darboux do uzasadniania istnienia miejsca zerowego funkcji </w:t>
            </w:r>
            <w:r>
              <w:rPr>
                <w:sz w:val="22"/>
                <w:szCs w:val="22"/>
              </w:rPr>
              <w:t>i wyznaczania jego przybliżonej wartości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pochodną funkcji w punkcie, korzystając z jej definicji – w trudniejszych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stosuje interpretację geometryczną pochodnej funkcji w punkcie do wyznaczania współczynnika kierunkowego stycznej do </w:t>
            </w:r>
            <w:r>
              <w:rPr>
                <w:sz w:val="22"/>
                <w:szCs w:val="22"/>
              </w:rPr>
              <w:t xml:space="preserve">wykresu funkcji w punkcie; oblicza kąt, jaki ta styczna tworzy z osią </w:t>
            </w:r>
            <w:r>
              <w:rPr>
                <w:i/>
                <w:sz w:val="22"/>
                <w:szCs w:val="22"/>
              </w:rPr>
              <w:t xml:space="preserve">OX – </w:t>
            </w:r>
            <w:r>
              <w:rPr>
                <w:sz w:val="22"/>
                <w:szCs w:val="22"/>
              </w:rPr>
              <w:t>w trudniejszych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uzasadnia istnienie pochodnej funkcji w punkcie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twierdzenia o pochodnej sumy, różnicy, iloczynu i ilorazu funkcji do wyznaczania funkcji pochod</w:t>
            </w:r>
            <w:r>
              <w:rPr>
                <w:sz w:val="22"/>
                <w:szCs w:val="22"/>
              </w:rPr>
              <w:t>nej oraz obliczania wartości pochodnej funkcji w punkcie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współrzędne punktu, w którym styczna do wykresu funkcji spełnia podane warunki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pochodne funkcji trygonometrycznych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pochodną funkcji złożonej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interpretację fiz</w:t>
            </w:r>
            <w:r>
              <w:rPr>
                <w:sz w:val="22"/>
                <w:szCs w:val="22"/>
              </w:rPr>
              <w:t>yczną pochodnej funkcji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przedziały monotoniczności funkcji – w trudniejszych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uzasadnia monotoniczność funkcji w danym zbiorze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wyznacza wartości parametrów tak, aby funkcja była monotoniczna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wyznacza ekstrema funkcji, stosując </w:t>
            </w:r>
            <w:r>
              <w:rPr>
                <w:sz w:val="22"/>
                <w:szCs w:val="22"/>
              </w:rPr>
              <w:t>warunki konieczny i wystarczający istnienia ekstremum – w trudniejszych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uzasadnia, że funkcja nie ma ekstremum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zadania z parametrem dotyczące ekstremów funkcji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wartości funkcji najmniejszą i największą w przedziale domkni</w:t>
            </w:r>
            <w:r>
              <w:rPr>
                <w:sz w:val="22"/>
                <w:szCs w:val="22"/>
              </w:rPr>
              <w:t>ętym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zadania optymalizacyjne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bada własności funkcji i szkicuje jej wykres</w:t>
            </w:r>
          </w:p>
        </w:tc>
      </w:tr>
    </w:tbl>
    <w:p w:rsidR="00F1711A" w:rsidRDefault="00F1711A">
      <w:pPr>
        <w:pStyle w:val="Standard"/>
        <w:rPr>
          <w:rFonts w:hint="eastAsia"/>
          <w:sz w:val="22"/>
          <w:szCs w:val="22"/>
        </w:rPr>
      </w:pPr>
    </w:p>
    <w:p w:rsidR="00F1711A" w:rsidRDefault="00E50514">
      <w:pPr>
        <w:pStyle w:val="Standard"/>
        <w:rPr>
          <w:rFonts w:hint="eastAsia"/>
        </w:rPr>
      </w:pPr>
      <w:r>
        <w:rPr>
          <w:sz w:val="22"/>
          <w:szCs w:val="22"/>
        </w:rPr>
        <w:t>Poziom</w:t>
      </w:r>
      <w:r>
        <w:rPr>
          <w:b/>
          <w:sz w:val="22"/>
          <w:szCs w:val="22"/>
        </w:rPr>
        <w:t xml:space="preserve"> (W)</w:t>
      </w:r>
    </w:p>
    <w:p w:rsidR="00F1711A" w:rsidRDefault="00E50514">
      <w:pPr>
        <w:pStyle w:val="Standard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sz w:val="22"/>
          <w:szCs w:val="22"/>
        </w:rPr>
        <w:t>celującą</w:t>
      </w:r>
      <w:r>
        <w:rPr>
          <w:sz w:val="22"/>
          <w:szCs w:val="22"/>
        </w:rPr>
        <w:t>, jeśli opanował wiedzę i umiejętności z poziomów (K) – (D) oraz: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wyprowadza wzory na pochodne funkcji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wyprowadza wzory na </w:t>
            </w:r>
            <w:r>
              <w:rPr>
                <w:sz w:val="22"/>
                <w:szCs w:val="22"/>
              </w:rPr>
              <w:t>pochodną sumy, różnicy, iloczynu i ilorazu funkcji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wyznacza równania asymptot ukośnych wykresu funkcji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zadania o podwyższonym stopniu trudności, wykorzystując pochodną i jej własności</w:t>
            </w:r>
          </w:p>
        </w:tc>
      </w:tr>
    </w:tbl>
    <w:p w:rsidR="00F1711A" w:rsidRDefault="00F1711A">
      <w:pPr>
        <w:pStyle w:val="Standard"/>
        <w:rPr>
          <w:rFonts w:hint="eastAsia"/>
          <w:b/>
          <w:sz w:val="22"/>
          <w:szCs w:val="22"/>
        </w:rPr>
      </w:pPr>
    </w:p>
    <w:p w:rsidR="00F1711A" w:rsidRDefault="00F1711A">
      <w:pPr>
        <w:pStyle w:val="Nagwek1"/>
        <w:rPr>
          <w:rFonts w:ascii="Times New Roman" w:eastAsia="Times New Roman" w:hAnsi="Times New Roman" w:cs="Times New Roman"/>
          <w:sz w:val="22"/>
          <w:szCs w:val="22"/>
        </w:rPr>
      </w:pPr>
    </w:p>
    <w:p w:rsidR="00F1711A" w:rsidRDefault="00E50514">
      <w:pPr>
        <w:pStyle w:val="Nagwek1"/>
        <w:rPr>
          <w:rFonts w:hint="eastAsia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18. STATYSTYKA</w:t>
      </w:r>
    </w:p>
    <w:p w:rsidR="00F1711A" w:rsidRDefault="00E50514">
      <w:pPr>
        <w:pStyle w:val="Standard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sz w:val="22"/>
          <w:szCs w:val="22"/>
        </w:rPr>
        <w:t xml:space="preserve">(K) </w:t>
      </w:r>
      <w:r>
        <w:rPr>
          <w:sz w:val="22"/>
          <w:szCs w:val="22"/>
        </w:rPr>
        <w:t>lub</w:t>
      </w:r>
      <w:r>
        <w:rPr>
          <w:b/>
          <w:sz w:val="22"/>
          <w:szCs w:val="22"/>
        </w:rPr>
        <w:t xml:space="preserve"> (P)</w:t>
      </w:r>
    </w:p>
    <w:p w:rsidR="00F1711A" w:rsidRDefault="00E50514">
      <w:pPr>
        <w:pStyle w:val="Standard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sz w:val="22"/>
          <w:szCs w:val="22"/>
        </w:rPr>
        <w:t xml:space="preserve">dopuszczającą </w:t>
      </w:r>
      <w:r>
        <w:rPr>
          <w:sz w:val="22"/>
          <w:szCs w:val="22"/>
        </w:rPr>
        <w:t xml:space="preserve">lub </w:t>
      </w:r>
      <w:r>
        <w:rPr>
          <w:b/>
          <w:sz w:val="22"/>
          <w:szCs w:val="22"/>
        </w:rPr>
        <w:t>dostateczną</w:t>
      </w:r>
      <w:r>
        <w:rPr>
          <w:sz w:val="22"/>
          <w:szCs w:val="22"/>
        </w:rPr>
        <w:t>, jeśli: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68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średnią arytmetyczną, wyznacza medianę i dominantę zestawu danych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średnią ważoną liczb z podanymi wagami</w:t>
            </w:r>
          </w:p>
        </w:tc>
      </w:tr>
    </w:tbl>
    <w:p w:rsidR="00F1711A" w:rsidRDefault="00E50514">
      <w:pPr>
        <w:pStyle w:val="Standard"/>
        <w:rPr>
          <w:rFonts w:hint="eastAsia"/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1711A" w:rsidRDefault="00E50514">
      <w:pPr>
        <w:pStyle w:val="Standard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sz w:val="22"/>
          <w:szCs w:val="22"/>
        </w:rPr>
        <w:t>(R)</w:t>
      </w:r>
      <w:r>
        <w:rPr>
          <w:sz w:val="22"/>
          <w:szCs w:val="22"/>
        </w:rPr>
        <w:t xml:space="preserve"> lub </w:t>
      </w:r>
      <w:r>
        <w:rPr>
          <w:b/>
          <w:sz w:val="22"/>
          <w:szCs w:val="22"/>
        </w:rPr>
        <w:t>(D)</w:t>
      </w:r>
    </w:p>
    <w:p w:rsidR="00F1711A" w:rsidRDefault="00E50514">
      <w:pPr>
        <w:pStyle w:val="Standard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sz w:val="22"/>
          <w:szCs w:val="22"/>
        </w:rPr>
        <w:t>dobrą</w:t>
      </w:r>
      <w:r>
        <w:rPr>
          <w:sz w:val="22"/>
          <w:szCs w:val="22"/>
        </w:rPr>
        <w:t xml:space="preserve"> lub </w:t>
      </w:r>
      <w:r>
        <w:rPr>
          <w:b/>
          <w:sz w:val="22"/>
          <w:szCs w:val="22"/>
        </w:rPr>
        <w:t>bardzo dobrą</w:t>
      </w:r>
      <w:r>
        <w:rPr>
          <w:sz w:val="22"/>
          <w:szCs w:val="22"/>
        </w:rPr>
        <w:t>, jeśli opanował poziomy (K) i (P) oraz dodatkowo: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średnią arytmetyczną, wyznacza medianę i dominantę danych przedstawionych różnymi sposobami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wykorzystuje w zadaniach średnią arytmetyczną, medi</w:t>
            </w:r>
            <w:r>
              <w:rPr>
                <w:sz w:val="22"/>
                <w:szCs w:val="22"/>
              </w:rPr>
              <w:t>anę, dominantę i średnią ważoną – w trudniejszych przypadkach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średnią arytmetyczną, wyznacza medianę i dominantę danych pogrupowanych różnymi sposobami</w:t>
            </w:r>
          </w:p>
        </w:tc>
      </w:tr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zadania dotyczące statystyki – w trudniejszych przypadkach</w:t>
            </w:r>
          </w:p>
        </w:tc>
      </w:tr>
    </w:tbl>
    <w:p w:rsidR="00F1711A" w:rsidRDefault="00F1711A">
      <w:pPr>
        <w:pStyle w:val="Standard"/>
        <w:rPr>
          <w:rFonts w:hint="eastAsia"/>
          <w:sz w:val="22"/>
          <w:szCs w:val="22"/>
        </w:rPr>
      </w:pPr>
    </w:p>
    <w:p w:rsidR="00F1711A" w:rsidRDefault="00E50514">
      <w:pPr>
        <w:pStyle w:val="Standard"/>
        <w:rPr>
          <w:rFonts w:hint="eastAsia"/>
        </w:rPr>
      </w:pPr>
      <w:r>
        <w:rPr>
          <w:sz w:val="22"/>
          <w:szCs w:val="22"/>
        </w:rPr>
        <w:t>Poziom</w:t>
      </w:r>
      <w:r>
        <w:rPr>
          <w:b/>
          <w:sz w:val="22"/>
          <w:szCs w:val="22"/>
        </w:rPr>
        <w:t xml:space="preserve"> (W)</w:t>
      </w:r>
    </w:p>
    <w:p w:rsidR="00F1711A" w:rsidRDefault="00E50514">
      <w:pPr>
        <w:pStyle w:val="Standard"/>
        <w:rPr>
          <w:rFonts w:hint="eastAsia"/>
        </w:rPr>
      </w:pPr>
      <w:r>
        <w:rPr>
          <w:sz w:val="22"/>
          <w:szCs w:val="22"/>
        </w:rPr>
        <w:t>Uczeń otrz</w:t>
      </w:r>
      <w:r>
        <w:rPr>
          <w:sz w:val="22"/>
          <w:szCs w:val="22"/>
        </w:rPr>
        <w:t xml:space="preserve">ymuje ocenę </w:t>
      </w:r>
      <w:r>
        <w:rPr>
          <w:b/>
          <w:sz w:val="22"/>
          <w:szCs w:val="22"/>
        </w:rPr>
        <w:t>celującą</w:t>
      </w:r>
      <w:r>
        <w:rPr>
          <w:sz w:val="22"/>
          <w:szCs w:val="22"/>
        </w:rPr>
        <w:t>, jeśli opanował wiedzę i umiejętności z poziomów (K) – (D) oraz: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F1711A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1711A" w:rsidRDefault="00E50514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zadania o znacznym stopniu trudności dotyczące statystyki</w:t>
            </w:r>
          </w:p>
        </w:tc>
      </w:tr>
    </w:tbl>
    <w:p w:rsidR="00F1711A" w:rsidRDefault="00F1711A">
      <w:pPr>
        <w:pStyle w:val="Standard"/>
        <w:rPr>
          <w:rFonts w:hint="eastAsia"/>
          <w:sz w:val="22"/>
          <w:szCs w:val="22"/>
        </w:rPr>
      </w:pPr>
    </w:p>
    <w:p w:rsidR="00F1711A" w:rsidRDefault="00F1711A">
      <w:pPr>
        <w:pStyle w:val="Standard"/>
        <w:rPr>
          <w:rFonts w:hint="eastAsia"/>
          <w:bCs/>
          <w:sz w:val="22"/>
          <w:szCs w:val="22"/>
        </w:rPr>
      </w:pPr>
    </w:p>
    <w:p w:rsidR="00F1711A" w:rsidRDefault="00F1711A">
      <w:pPr>
        <w:pStyle w:val="Standard"/>
        <w:rPr>
          <w:rFonts w:hint="eastAsia"/>
          <w:color w:val="000000"/>
          <w:sz w:val="22"/>
          <w:szCs w:val="22"/>
        </w:rPr>
      </w:pPr>
    </w:p>
    <w:p w:rsidR="00F1711A" w:rsidRDefault="00F1711A">
      <w:pPr>
        <w:pStyle w:val="Textbody"/>
        <w:spacing w:line="120" w:lineRule="atLeast"/>
        <w:jc w:val="both"/>
        <w:rPr>
          <w:rFonts w:hint="eastAsia"/>
          <w:sz w:val="22"/>
          <w:szCs w:val="22"/>
        </w:rPr>
      </w:pPr>
    </w:p>
    <w:p w:rsidR="00F1711A" w:rsidRDefault="00F1711A">
      <w:pPr>
        <w:pStyle w:val="Textbody"/>
        <w:rPr>
          <w:rFonts w:hint="eastAsia"/>
          <w:sz w:val="22"/>
          <w:szCs w:val="22"/>
        </w:rPr>
      </w:pPr>
    </w:p>
    <w:sectPr w:rsidR="00F1711A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50514">
      <w:pPr>
        <w:rPr>
          <w:rFonts w:hint="eastAsia"/>
        </w:rPr>
      </w:pPr>
      <w:r>
        <w:separator/>
      </w:r>
    </w:p>
  </w:endnote>
  <w:endnote w:type="continuationSeparator" w:id="0">
    <w:p w:rsidR="00000000" w:rsidRDefault="00E5051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oboto">
    <w:altName w:val="Times New Roman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ight"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5051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E5051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82B3F"/>
    <w:multiLevelType w:val="multilevel"/>
    <w:tmpl w:val="AF00036A"/>
    <w:styleLink w:val="WWNum8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61F7030"/>
    <w:multiLevelType w:val="multilevel"/>
    <w:tmpl w:val="6372AB3A"/>
    <w:styleLink w:val="WWNum56"/>
    <w:lvl w:ilvl="0">
      <w:numFmt w:val="bullet"/>
      <w:lvlText w:val=""/>
      <w:lvlJc w:val="left"/>
      <w:pPr>
        <w:ind w:left="502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796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1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6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7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6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36" w:hanging="360"/>
      </w:pPr>
      <w:rPr>
        <w:rFonts w:ascii="Wingdings" w:hAnsi="Wingdings"/>
      </w:rPr>
    </w:lvl>
  </w:abstractNum>
  <w:abstractNum w:abstractNumId="2" w15:restartNumberingAfterBreak="0">
    <w:nsid w:val="07B56447"/>
    <w:multiLevelType w:val="multilevel"/>
    <w:tmpl w:val="6E9CB1D2"/>
    <w:styleLink w:val="WWNum2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3E037B"/>
    <w:multiLevelType w:val="multilevel"/>
    <w:tmpl w:val="768079D4"/>
    <w:styleLink w:val="WWNum51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BFA1D5F"/>
    <w:multiLevelType w:val="multilevel"/>
    <w:tmpl w:val="D6760874"/>
    <w:styleLink w:val="WWNum4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2101918"/>
    <w:multiLevelType w:val="multilevel"/>
    <w:tmpl w:val="E8BE5EB4"/>
    <w:styleLink w:val="WWNum31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6" w15:restartNumberingAfterBreak="0">
    <w:nsid w:val="12D36027"/>
    <w:multiLevelType w:val="multilevel"/>
    <w:tmpl w:val="F132981E"/>
    <w:styleLink w:val="WWNum14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7" w15:restartNumberingAfterBreak="0">
    <w:nsid w:val="138E75A6"/>
    <w:multiLevelType w:val="multilevel"/>
    <w:tmpl w:val="4380ECC8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8" w15:restartNumberingAfterBreak="0">
    <w:nsid w:val="14E72679"/>
    <w:multiLevelType w:val="multilevel"/>
    <w:tmpl w:val="723E0E24"/>
    <w:styleLink w:val="WWNum1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9" w15:restartNumberingAfterBreak="0">
    <w:nsid w:val="172936AE"/>
    <w:multiLevelType w:val="multilevel"/>
    <w:tmpl w:val="01F0AADE"/>
    <w:styleLink w:val="WWNum35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74B3DB7"/>
    <w:multiLevelType w:val="multilevel"/>
    <w:tmpl w:val="C7849234"/>
    <w:styleLink w:val="WWNum5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17972310"/>
    <w:multiLevelType w:val="multilevel"/>
    <w:tmpl w:val="B79C774A"/>
    <w:styleLink w:val="WWNum37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1B8458B3"/>
    <w:multiLevelType w:val="multilevel"/>
    <w:tmpl w:val="3C1C8B52"/>
    <w:styleLink w:val="WWNum21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3" w15:restartNumberingAfterBreak="0">
    <w:nsid w:val="1D1267FC"/>
    <w:multiLevelType w:val="multilevel"/>
    <w:tmpl w:val="1C30AA78"/>
    <w:styleLink w:val="WWNum5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1E293EAF"/>
    <w:multiLevelType w:val="multilevel"/>
    <w:tmpl w:val="F3E2E928"/>
    <w:styleLink w:val="WWNum4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0633DCB"/>
    <w:multiLevelType w:val="multilevel"/>
    <w:tmpl w:val="B908D8D0"/>
    <w:styleLink w:val="WWNum3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6" w15:restartNumberingAfterBreak="0">
    <w:nsid w:val="2252546E"/>
    <w:multiLevelType w:val="multilevel"/>
    <w:tmpl w:val="ADAE6322"/>
    <w:styleLink w:val="WWNum24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7" w15:restartNumberingAfterBreak="0">
    <w:nsid w:val="22AD0961"/>
    <w:multiLevelType w:val="multilevel"/>
    <w:tmpl w:val="E2FC68BA"/>
    <w:styleLink w:val="WWNum3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232C17D9"/>
    <w:multiLevelType w:val="multilevel"/>
    <w:tmpl w:val="23526FA8"/>
    <w:styleLink w:val="WWNum47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247B3E63"/>
    <w:multiLevelType w:val="multilevel"/>
    <w:tmpl w:val="2A4E8196"/>
    <w:styleLink w:val="WWNum41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27D67EAE"/>
    <w:multiLevelType w:val="multilevel"/>
    <w:tmpl w:val="3E5A7DBC"/>
    <w:styleLink w:val="WWNum2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1" w15:restartNumberingAfterBreak="0">
    <w:nsid w:val="2AA94D41"/>
    <w:multiLevelType w:val="multilevel"/>
    <w:tmpl w:val="1E2AA198"/>
    <w:styleLink w:val="WWNum15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2" w15:restartNumberingAfterBreak="0">
    <w:nsid w:val="2AC453E5"/>
    <w:multiLevelType w:val="multilevel"/>
    <w:tmpl w:val="726AB6DA"/>
    <w:styleLink w:val="WWNum5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2D3E5814"/>
    <w:multiLevelType w:val="multilevel"/>
    <w:tmpl w:val="8E3E4D60"/>
    <w:styleLink w:val="WWNum18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4" w15:restartNumberingAfterBreak="0">
    <w:nsid w:val="2ED96FF6"/>
    <w:multiLevelType w:val="multilevel"/>
    <w:tmpl w:val="EF8C6D40"/>
    <w:styleLink w:val="WWNum26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5" w15:restartNumberingAfterBreak="0">
    <w:nsid w:val="2EF22353"/>
    <w:multiLevelType w:val="multilevel"/>
    <w:tmpl w:val="A0822F10"/>
    <w:styleLink w:val="WWNum57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2FEC1C9C"/>
    <w:multiLevelType w:val="multilevel"/>
    <w:tmpl w:val="86E8EBC2"/>
    <w:styleLink w:val="WWNum34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7" w15:restartNumberingAfterBreak="0">
    <w:nsid w:val="31DE54C3"/>
    <w:multiLevelType w:val="multilevel"/>
    <w:tmpl w:val="FA6EE3FE"/>
    <w:styleLink w:val="WWNum4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341E13D0"/>
    <w:multiLevelType w:val="multilevel"/>
    <w:tmpl w:val="7E4A3D6E"/>
    <w:styleLink w:val="WWNum55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35C74465"/>
    <w:multiLevelType w:val="multilevel"/>
    <w:tmpl w:val="5598423A"/>
    <w:styleLink w:val="WWNum1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36021B4D"/>
    <w:multiLevelType w:val="multilevel"/>
    <w:tmpl w:val="FBE2A77E"/>
    <w:styleLink w:val="WWNum53"/>
    <w:lvl w:ilvl="0">
      <w:numFmt w:val="bullet"/>
      <w:lvlText w:val=""/>
      <w:lvlJc w:val="left"/>
      <w:pPr>
        <w:ind w:left="927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371F4C17"/>
    <w:multiLevelType w:val="multilevel"/>
    <w:tmpl w:val="C0669296"/>
    <w:styleLink w:val="WWNum9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2" w15:restartNumberingAfterBreak="0">
    <w:nsid w:val="38B24CA0"/>
    <w:multiLevelType w:val="multilevel"/>
    <w:tmpl w:val="D2D61370"/>
    <w:styleLink w:val="WWNum49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39A05BA5"/>
    <w:multiLevelType w:val="multilevel"/>
    <w:tmpl w:val="12FCABE4"/>
    <w:styleLink w:val="WWNum2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4" w15:restartNumberingAfterBreak="0">
    <w:nsid w:val="3D8F65A8"/>
    <w:multiLevelType w:val="multilevel"/>
    <w:tmpl w:val="34725A74"/>
    <w:styleLink w:val="WWNum6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42853D53"/>
    <w:multiLevelType w:val="multilevel"/>
    <w:tmpl w:val="A8B84012"/>
    <w:styleLink w:val="WWNum33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6" w15:restartNumberingAfterBreak="0">
    <w:nsid w:val="44F40C49"/>
    <w:multiLevelType w:val="multilevel"/>
    <w:tmpl w:val="EBF23916"/>
    <w:styleLink w:val="WWNum39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455D3B6B"/>
    <w:multiLevelType w:val="multilevel"/>
    <w:tmpl w:val="6B5C2B62"/>
    <w:styleLink w:val="WWNum45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 w15:restartNumberingAfterBreak="0">
    <w:nsid w:val="469B5CE2"/>
    <w:multiLevelType w:val="multilevel"/>
    <w:tmpl w:val="1C94E4E8"/>
    <w:styleLink w:val="WWNum25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9" w15:restartNumberingAfterBreak="0">
    <w:nsid w:val="48B456F9"/>
    <w:multiLevelType w:val="multilevel"/>
    <w:tmpl w:val="88EE90A8"/>
    <w:styleLink w:val="WWNum7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496A1B18"/>
    <w:multiLevelType w:val="multilevel"/>
    <w:tmpl w:val="3B185556"/>
    <w:styleLink w:val="WWNum43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" w15:restartNumberingAfterBreak="0">
    <w:nsid w:val="4B4603BC"/>
    <w:multiLevelType w:val="multilevel"/>
    <w:tmpl w:val="0A16464E"/>
    <w:styleLink w:val="WWNum3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2" w15:restartNumberingAfterBreak="0">
    <w:nsid w:val="4D086A9C"/>
    <w:multiLevelType w:val="multilevel"/>
    <w:tmpl w:val="6BDE83E8"/>
    <w:styleLink w:val="WWNum28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3" w15:restartNumberingAfterBreak="0">
    <w:nsid w:val="4DC253B9"/>
    <w:multiLevelType w:val="multilevel"/>
    <w:tmpl w:val="2AC8ADD6"/>
    <w:styleLink w:val="WWNum27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4" w15:restartNumberingAfterBreak="0">
    <w:nsid w:val="50C026A5"/>
    <w:multiLevelType w:val="multilevel"/>
    <w:tmpl w:val="A27634F6"/>
    <w:styleLink w:val="WWNum13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5" w15:restartNumberingAfterBreak="0">
    <w:nsid w:val="54145008"/>
    <w:multiLevelType w:val="multilevel"/>
    <w:tmpl w:val="33C43344"/>
    <w:styleLink w:val="WWNum36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6" w15:restartNumberingAfterBreak="0">
    <w:nsid w:val="54C60901"/>
    <w:multiLevelType w:val="multilevel"/>
    <w:tmpl w:val="3D78B410"/>
    <w:styleLink w:val="WWNum17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7" w15:restartNumberingAfterBreak="0">
    <w:nsid w:val="59196EDF"/>
    <w:multiLevelType w:val="multilevel"/>
    <w:tmpl w:val="6592FE9E"/>
    <w:styleLink w:val="WWNum16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8" w15:restartNumberingAfterBreak="0">
    <w:nsid w:val="5C3940A4"/>
    <w:multiLevelType w:val="multilevel"/>
    <w:tmpl w:val="09926D08"/>
    <w:styleLink w:val="WWNum19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9" w15:restartNumberingAfterBreak="0">
    <w:nsid w:val="5E413400"/>
    <w:multiLevelType w:val="multilevel"/>
    <w:tmpl w:val="45589562"/>
    <w:styleLink w:val="WWNum4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0" w15:restartNumberingAfterBreak="0">
    <w:nsid w:val="5FD82DE0"/>
    <w:multiLevelType w:val="multilevel"/>
    <w:tmpl w:val="4202A6BA"/>
    <w:styleLink w:val="WWNum11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1" w15:restartNumberingAfterBreak="0">
    <w:nsid w:val="60D2277C"/>
    <w:multiLevelType w:val="multilevel"/>
    <w:tmpl w:val="E13A0A76"/>
    <w:styleLink w:val="WWNum4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2" w15:restartNumberingAfterBreak="0">
    <w:nsid w:val="67476615"/>
    <w:multiLevelType w:val="multilevel"/>
    <w:tmpl w:val="15166D90"/>
    <w:styleLink w:val="WWNum1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3" w15:restartNumberingAfterBreak="0">
    <w:nsid w:val="67601868"/>
    <w:multiLevelType w:val="multilevel"/>
    <w:tmpl w:val="FAB0FEEC"/>
    <w:styleLink w:val="WWNum23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4" w15:restartNumberingAfterBreak="0">
    <w:nsid w:val="71E06CD6"/>
    <w:multiLevelType w:val="multilevel"/>
    <w:tmpl w:val="32289786"/>
    <w:styleLink w:val="WWNum38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5" w15:restartNumberingAfterBreak="0">
    <w:nsid w:val="7A060D44"/>
    <w:multiLevelType w:val="multilevel"/>
    <w:tmpl w:val="555E73CA"/>
    <w:styleLink w:val="WWNum4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6" w15:restartNumberingAfterBreak="0">
    <w:nsid w:val="7C297A07"/>
    <w:multiLevelType w:val="multilevel"/>
    <w:tmpl w:val="58DA1D2A"/>
    <w:styleLink w:val="WWNum29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7" w15:restartNumberingAfterBreak="0">
    <w:nsid w:val="7F0D65BA"/>
    <w:multiLevelType w:val="multilevel"/>
    <w:tmpl w:val="B1FED4E0"/>
    <w:styleLink w:val="WWNum50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7"/>
  </w:num>
  <w:num w:numId="2">
    <w:abstractNumId w:val="29"/>
  </w:num>
  <w:num w:numId="3">
    <w:abstractNumId w:val="2"/>
  </w:num>
  <w:num w:numId="4">
    <w:abstractNumId w:val="17"/>
  </w:num>
  <w:num w:numId="5">
    <w:abstractNumId w:val="14"/>
  </w:num>
  <w:num w:numId="6">
    <w:abstractNumId w:val="22"/>
  </w:num>
  <w:num w:numId="7">
    <w:abstractNumId w:val="34"/>
  </w:num>
  <w:num w:numId="8">
    <w:abstractNumId w:val="39"/>
  </w:num>
  <w:num w:numId="9">
    <w:abstractNumId w:val="0"/>
  </w:num>
  <w:num w:numId="10">
    <w:abstractNumId w:val="31"/>
  </w:num>
  <w:num w:numId="11">
    <w:abstractNumId w:val="8"/>
  </w:num>
  <w:num w:numId="12">
    <w:abstractNumId w:val="50"/>
  </w:num>
  <w:num w:numId="13">
    <w:abstractNumId w:val="52"/>
  </w:num>
  <w:num w:numId="14">
    <w:abstractNumId w:val="44"/>
  </w:num>
  <w:num w:numId="15">
    <w:abstractNumId w:val="6"/>
  </w:num>
  <w:num w:numId="16">
    <w:abstractNumId w:val="21"/>
  </w:num>
  <w:num w:numId="17">
    <w:abstractNumId w:val="47"/>
  </w:num>
  <w:num w:numId="18">
    <w:abstractNumId w:val="46"/>
  </w:num>
  <w:num w:numId="19">
    <w:abstractNumId w:val="23"/>
  </w:num>
  <w:num w:numId="20">
    <w:abstractNumId w:val="48"/>
  </w:num>
  <w:num w:numId="21">
    <w:abstractNumId w:val="20"/>
  </w:num>
  <w:num w:numId="22">
    <w:abstractNumId w:val="12"/>
  </w:num>
  <w:num w:numId="23">
    <w:abstractNumId w:val="33"/>
  </w:num>
  <w:num w:numId="24">
    <w:abstractNumId w:val="53"/>
  </w:num>
  <w:num w:numId="25">
    <w:abstractNumId w:val="16"/>
  </w:num>
  <w:num w:numId="26">
    <w:abstractNumId w:val="38"/>
  </w:num>
  <w:num w:numId="27">
    <w:abstractNumId w:val="24"/>
  </w:num>
  <w:num w:numId="28">
    <w:abstractNumId w:val="43"/>
  </w:num>
  <w:num w:numId="29">
    <w:abstractNumId w:val="42"/>
  </w:num>
  <w:num w:numId="30">
    <w:abstractNumId w:val="56"/>
  </w:num>
  <w:num w:numId="31">
    <w:abstractNumId w:val="15"/>
  </w:num>
  <w:num w:numId="32">
    <w:abstractNumId w:val="5"/>
  </w:num>
  <w:num w:numId="33">
    <w:abstractNumId w:val="41"/>
  </w:num>
  <w:num w:numId="34">
    <w:abstractNumId w:val="35"/>
  </w:num>
  <w:num w:numId="35">
    <w:abstractNumId w:val="26"/>
  </w:num>
  <w:num w:numId="36">
    <w:abstractNumId w:val="9"/>
  </w:num>
  <w:num w:numId="37">
    <w:abstractNumId w:val="45"/>
  </w:num>
  <w:num w:numId="38">
    <w:abstractNumId w:val="11"/>
  </w:num>
  <w:num w:numId="39">
    <w:abstractNumId w:val="54"/>
  </w:num>
  <w:num w:numId="40">
    <w:abstractNumId w:val="36"/>
  </w:num>
  <w:num w:numId="41">
    <w:abstractNumId w:val="27"/>
  </w:num>
  <w:num w:numId="42">
    <w:abstractNumId w:val="19"/>
  </w:num>
  <w:num w:numId="43">
    <w:abstractNumId w:val="51"/>
  </w:num>
  <w:num w:numId="44">
    <w:abstractNumId w:val="40"/>
  </w:num>
  <w:num w:numId="45">
    <w:abstractNumId w:val="4"/>
  </w:num>
  <w:num w:numId="46">
    <w:abstractNumId w:val="37"/>
  </w:num>
  <w:num w:numId="47">
    <w:abstractNumId w:val="49"/>
  </w:num>
  <w:num w:numId="48">
    <w:abstractNumId w:val="18"/>
  </w:num>
  <w:num w:numId="49">
    <w:abstractNumId w:val="55"/>
  </w:num>
  <w:num w:numId="50">
    <w:abstractNumId w:val="32"/>
  </w:num>
  <w:num w:numId="51">
    <w:abstractNumId w:val="57"/>
  </w:num>
  <w:num w:numId="52">
    <w:abstractNumId w:val="3"/>
  </w:num>
  <w:num w:numId="53">
    <w:abstractNumId w:val="10"/>
  </w:num>
  <w:num w:numId="54">
    <w:abstractNumId w:val="30"/>
  </w:num>
  <w:num w:numId="55">
    <w:abstractNumId w:val="13"/>
  </w:num>
  <w:num w:numId="56">
    <w:abstractNumId w:val="28"/>
  </w:num>
  <w:num w:numId="57">
    <w:abstractNumId w:val="1"/>
  </w:num>
  <w:num w:numId="58">
    <w:abstractNumId w:val="25"/>
  </w:num>
  <w:num w:numId="59">
    <w:abstractNumId w:val="44"/>
    <w:lvlOverride w:ilvl="0"/>
  </w:num>
  <w:num w:numId="60">
    <w:abstractNumId w:val="39"/>
    <w:lvlOverride w:ilvl="0"/>
  </w:num>
  <w:num w:numId="61">
    <w:abstractNumId w:val="0"/>
    <w:lvlOverride w:ilvl="0"/>
  </w:num>
  <w:num w:numId="62">
    <w:abstractNumId w:val="22"/>
    <w:lvlOverride w:ilvl="0"/>
  </w:num>
  <w:num w:numId="63">
    <w:abstractNumId w:val="29"/>
    <w:lvlOverride w:ilvl="0"/>
  </w:num>
  <w:num w:numId="64">
    <w:abstractNumId w:val="8"/>
    <w:lvlOverride w:ilvl="0"/>
  </w:num>
  <w:num w:numId="65">
    <w:abstractNumId w:val="31"/>
    <w:lvlOverride w:ilvl="0"/>
  </w:num>
  <w:num w:numId="66">
    <w:abstractNumId w:val="17"/>
    <w:lvlOverride w:ilvl="0"/>
  </w:num>
  <w:num w:numId="67">
    <w:abstractNumId w:val="34"/>
    <w:lvlOverride w:ilvl="0"/>
  </w:num>
  <w:num w:numId="68">
    <w:abstractNumId w:val="14"/>
    <w:lvlOverride w:ilvl="0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F1711A"/>
    <w:rsid w:val="00E50514"/>
    <w:rsid w:val="00F1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FB0A5B-561D-428B-98DC-72C7595E5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tandard"/>
    <w:pPr>
      <w:keepNext/>
      <w:jc w:val="both"/>
      <w:outlineLvl w:val="0"/>
    </w:pPr>
    <w:rPr>
      <w:b/>
      <w:bCs/>
    </w:rPr>
  </w:style>
  <w:style w:type="paragraph" w:styleId="Nagwek2">
    <w:name w:val="heading 2"/>
    <w:basedOn w:val="Standard"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Nagwek3">
    <w:name w:val="heading 3"/>
    <w:basedOn w:val="Standard"/>
    <w:pPr>
      <w:keepNext/>
      <w:jc w:val="center"/>
      <w:outlineLvl w:val="2"/>
    </w:pPr>
    <w:rPr>
      <w:sz w:val="28"/>
      <w:szCs w:val="20"/>
    </w:rPr>
  </w:style>
  <w:style w:type="paragraph" w:styleId="Nagwek4">
    <w:name w:val="heading 4"/>
    <w:basedOn w:val="Standard"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Nagwek5">
    <w:name w:val="heading 5"/>
    <w:basedOn w:val="Standard"/>
    <w:pPr>
      <w:keepNext/>
      <w:outlineLvl w:val="4"/>
    </w:pPr>
    <w:rPr>
      <w:b/>
      <w:sz w:val="28"/>
      <w:szCs w:val="20"/>
    </w:rPr>
  </w:style>
  <w:style w:type="paragraph" w:styleId="Nagwek6">
    <w:name w:val="heading 6"/>
    <w:basedOn w:val="Standar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opkaCopyright">
    <w:name w:val="Stopka Copyright"/>
    <w:basedOn w:val="Standard"/>
    <w:pPr>
      <w:jc w:val="both"/>
    </w:pPr>
    <w:rPr>
      <w:rFonts w:ascii="Roboto" w:eastAsia="Calibri" w:hAnsi="Roboto" w:cs="Roboto"/>
      <w:iCs/>
      <w:color w:val="000000"/>
      <w:sz w:val="16"/>
      <w:szCs w:val="18"/>
      <w:lang w:eastAsia="en-US"/>
    </w:rPr>
  </w:style>
  <w:style w:type="paragraph" w:customStyle="1" w:styleId="StronaTytuowaCopyright">
    <w:name w:val="Strona Tytułowa Copyright"/>
    <w:basedOn w:val="Standard"/>
    <w:pPr>
      <w:spacing w:line="276" w:lineRule="auto"/>
      <w:jc w:val="center"/>
    </w:pPr>
    <w:rPr>
      <w:rFonts w:ascii="Roboto Light" w:eastAsia="Calibri" w:hAnsi="Roboto Light" w:cs="Roboto Light"/>
      <w:iCs/>
      <w:color w:val="000000"/>
      <w:sz w:val="20"/>
      <w:szCs w:val="20"/>
      <w:lang w:eastAsia="en-US"/>
    </w:rPr>
  </w:style>
  <w:style w:type="paragraph" w:customStyle="1" w:styleId="StronaTytuowaTytu">
    <w:name w:val="Strona Tytułowa Tytuł"/>
    <w:pPr>
      <w:jc w:val="center"/>
    </w:pPr>
    <w:rPr>
      <w:rFonts w:ascii="Roboto" w:eastAsia="Calibri" w:hAnsi="Roboto" w:cs="Roboto"/>
      <w:sz w:val="64"/>
      <w:lang w:eastAsia="en-US"/>
    </w:rPr>
  </w:style>
  <w:style w:type="paragraph" w:customStyle="1" w:styleId="StronaTytuowaAutorzy">
    <w:name w:val="Strona Tytułowa Autorzy"/>
    <w:pPr>
      <w:jc w:val="center"/>
    </w:pPr>
    <w:rPr>
      <w:rFonts w:ascii="Roboto Light" w:eastAsia="Calibri" w:hAnsi="Roboto Light" w:cs="Roboto Light"/>
      <w:color w:val="000000"/>
      <w:sz w:val="32"/>
      <w:szCs w:val="32"/>
      <w:lang w:eastAsia="en-US"/>
    </w:rPr>
  </w:style>
  <w:style w:type="paragraph" w:customStyle="1" w:styleId="PodtytulArial14">
    <w:name w:val="Podtytul Arial 14"/>
    <w:basedOn w:val="TytulArial20"/>
    <w:pPr>
      <w:spacing w:before="0"/>
    </w:pPr>
    <w:rPr>
      <w:sz w:val="28"/>
      <w:szCs w:val="28"/>
    </w:rPr>
  </w:style>
  <w:style w:type="paragraph" w:customStyle="1" w:styleId="TytulArial20">
    <w:name w:val="Tytul Arial 20"/>
    <w:basedOn w:val="Nagwek2"/>
    <w:pPr>
      <w:spacing w:line="276" w:lineRule="auto"/>
    </w:pPr>
    <w:rPr>
      <w:rFonts w:ascii="Arial" w:eastAsia="Arial" w:hAnsi="Arial" w:cs="Arial"/>
      <w:color w:val="92D050"/>
      <w:sz w:val="40"/>
      <w:szCs w:val="40"/>
      <w:lang w:eastAsia="en-US"/>
    </w:rPr>
  </w:style>
  <w:style w:type="paragraph" w:styleId="Poprawka">
    <w:name w:val="Revision"/>
  </w:style>
  <w:style w:type="paragraph" w:styleId="Tematkomentarza">
    <w:name w:val="annotation subject"/>
    <w:basedOn w:val="Tekstkomentarza"/>
    <w:rPr>
      <w:b/>
      <w:bCs/>
    </w:rPr>
  </w:style>
  <w:style w:type="paragraph" w:styleId="Tekstkomentarza">
    <w:name w:val="annotation text"/>
    <w:basedOn w:val="Standard"/>
    <w:rPr>
      <w:sz w:val="20"/>
      <w:szCs w:val="20"/>
    </w:rPr>
  </w:style>
  <w:style w:type="paragraph" w:styleId="Podtytu">
    <w:name w:val="Subtitle"/>
    <w:basedOn w:val="Standard"/>
    <w:rPr>
      <w:rFonts w:ascii="Cambria" w:eastAsia="Cambria" w:hAnsi="Cambria" w:cs="Cambria"/>
      <w:i/>
      <w:iCs/>
      <w:color w:val="4F81BD"/>
      <w:spacing w:val="15"/>
    </w:rPr>
  </w:style>
  <w:style w:type="paragraph" w:styleId="Listapunktowana2">
    <w:name w:val="List Bullet 2"/>
    <w:basedOn w:val="Standard"/>
    <w:pPr>
      <w:tabs>
        <w:tab w:val="left" w:pos="1286"/>
        <w:tab w:val="left" w:pos="1363"/>
      </w:tabs>
      <w:ind w:left="643" w:hanging="360"/>
    </w:pPr>
  </w:style>
  <w:style w:type="paragraph" w:styleId="Akapitzlist">
    <w:name w:val="List Paragraph"/>
    <w:basedOn w:val="Standard"/>
    <w:pPr>
      <w:ind w:left="720"/>
    </w:pPr>
  </w:style>
  <w:style w:type="paragraph" w:customStyle="1" w:styleId="Akapitzlist1">
    <w:name w:val="Akapit z listą1"/>
    <w:basedOn w:val="Standard"/>
    <w:pPr>
      <w:widowControl w:val="0"/>
      <w:ind w:left="720"/>
    </w:pPr>
    <w:rPr>
      <w:rFonts w:ascii="Arial" w:eastAsia="Arial" w:hAnsi="Arial"/>
      <w:sz w:val="20"/>
      <w:szCs w:val="20"/>
    </w:r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ytu">
    <w:name w:val="Title"/>
    <w:basedOn w:val="Standard"/>
    <w:pPr>
      <w:jc w:val="center"/>
    </w:pPr>
    <w:rPr>
      <w:szCs w:val="20"/>
    </w:rPr>
  </w:style>
  <w:style w:type="paragraph" w:customStyle="1" w:styleId="Kolorowalistaakcent11">
    <w:name w:val="Kolorowa lista — akcent 11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ListLabel23">
    <w:name w:val="ListLabel 23"/>
    <w:rPr>
      <w:rFonts w:eastAsia="Times New Roman"/>
    </w:rPr>
  </w:style>
  <w:style w:type="character" w:customStyle="1" w:styleId="ListLabel22">
    <w:name w:val="ListLabel 22"/>
    <w:rPr>
      <w:color w:val="00000A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1">
    <w:name w:val="ListLabel 1"/>
    <w:rPr>
      <w:rFonts w:cs="Times New Roman"/>
    </w:rPr>
  </w:style>
  <w:style w:type="character" w:styleId="Tekstzastpczy">
    <w:name w:val="Placeholder Text"/>
    <w:basedOn w:val="Domylnaczcionkaakapitu"/>
    <w:rPr>
      <w:color w:val="808080"/>
    </w:rPr>
  </w:style>
  <w:style w:type="character" w:customStyle="1" w:styleId="PodtytulArial14Znak">
    <w:name w:val="Podtytul Arial 14 Znak"/>
    <w:basedOn w:val="TytulArial20Znak"/>
    <w:rPr>
      <w:rFonts w:ascii="Arial" w:eastAsia="Arial" w:hAnsi="Arial" w:cs="Arial"/>
      <w:b/>
      <w:bCs/>
      <w:color w:val="92D050"/>
      <w:sz w:val="28"/>
      <w:szCs w:val="28"/>
      <w:lang w:eastAsia="en-US"/>
    </w:rPr>
  </w:style>
  <w:style w:type="character" w:customStyle="1" w:styleId="TytulArial20Znak">
    <w:name w:val="Tytul Arial 20 Znak"/>
    <w:basedOn w:val="Nagwek2Znak"/>
    <w:rPr>
      <w:rFonts w:ascii="Arial" w:eastAsia="Arial" w:hAnsi="Arial" w:cs="Arial"/>
      <w:b/>
      <w:bCs/>
      <w:color w:val="92D050"/>
      <w:sz w:val="40"/>
      <w:szCs w:val="40"/>
      <w:lang w:eastAsia="en-US"/>
    </w:rPr>
  </w:style>
  <w:style w:type="character" w:customStyle="1" w:styleId="TematkomentarzaZnak">
    <w:name w:val="Temat komentarza Znak"/>
    <w:basedOn w:val="TekstkomentarzaZnak"/>
    <w:rPr>
      <w:rFonts w:cs="Times New Roman"/>
      <w:b/>
      <w:bCs/>
    </w:rPr>
  </w:style>
  <w:style w:type="character" w:customStyle="1" w:styleId="TekstkomentarzaZnak">
    <w:name w:val="Tekst komentarza Znak"/>
    <w:basedOn w:val="Domylnaczcionkaakapitu"/>
    <w:rPr>
      <w:rFonts w:cs="Times New Roman"/>
    </w:rPr>
  </w:style>
  <w:style w:type="character" w:styleId="Odwoaniedokomentarza">
    <w:name w:val="annotation reference"/>
    <w:basedOn w:val="Domylnaczcionkaakapitu"/>
    <w:rPr>
      <w:rFonts w:cs="Times New Roman"/>
      <w:sz w:val="16"/>
      <w:szCs w:val="16"/>
    </w:rPr>
  </w:style>
  <w:style w:type="character" w:customStyle="1" w:styleId="PodtytuZnak">
    <w:name w:val="Podtytuł Znak"/>
    <w:basedOn w:val="Domylnaczcionkaakapitu"/>
    <w:rPr>
      <w:rFonts w:ascii="Cambria" w:eastAsia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Tahoma" w:eastAsia="Tahoma" w:hAnsi="Tahoma" w:cs="Tahoma"/>
      <w:sz w:val="16"/>
      <w:szCs w:val="16"/>
    </w:rPr>
  </w:style>
  <w:style w:type="character" w:customStyle="1" w:styleId="TekstpodstawowywcityZnak">
    <w:name w:val="Tekst podstawowy wcięty Znak"/>
    <w:basedOn w:val="Domylnaczcionkaakapitu"/>
    <w:rPr>
      <w:rFonts w:cs="Times New Roman"/>
      <w:sz w:val="24"/>
      <w:szCs w:val="24"/>
    </w:rPr>
  </w:style>
  <w:style w:type="character" w:styleId="Numerstrony">
    <w:name w:val="page number"/>
    <w:basedOn w:val="Domylnaczcionkaakapitu"/>
    <w:rPr>
      <w:rFonts w:cs="Times New Roman"/>
    </w:rPr>
  </w:style>
  <w:style w:type="character" w:customStyle="1" w:styleId="TekstpodstawowyZnak">
    <w:name w:val="Tekst podstawowy Znak"/>
    <w:basedOn w:val="Domylnaczcionkaakapitu"/>
    <w:rPr>
      <w:rFonts w:cs="Times New Roman"/>
      <w:sz w:val="24"/>
      <w:szCs w:val="24"/>
    </w:rPr>
  </w:style>
  <w:style w:type="character" w:customStyle="1" w:styleId="StopkaZnak">
    <w:name w:val="Stopka Znak"/>
    <w:basedOn w:val="Domylnaczcionkaakapitu"/>
    <w:rPr>
      <w:rFonts w:cs="Times New Roman"/>
      <w:sz w:val="24"/>
      <w:szCs w:val="24"/>
    </w:rPr>
  </w:style>
  <w:style w:type="character" w:customStyle="1" w:styleId="NagwekZnak">
    <w:name w:val="Nagłówek Znak"/>
    <w:basedOn w:val="Domylnaczcionkaakapitu"/>
    <w:rPr>
      <w:rFonts w:cs="Times New Roman"/>
    </w:rPr>
  </w:style>
  <w:style w:type="character" w:customStyle="1" w:styleId="TytuZnak">
    <w:name w:val="Tytuł Znak"/>
    <w:basedOn w:val="Domylnaczcionkaakapitu"/>
    <w:rPr>
      <w:rFonts w:ascii="Cambria" w:eastAsia="Cambria" w:hAnsi="Cambria" w:cs="Times New Roman"/>
      <w:b/>
      <w:bCs/>
      <w:kern w:val="3"/>
      <w:sz w:val="32"/>
      <w:szCs w:val="32"/>
    </w:rPr>
  </w:style>
  <w:style w:type="character" w:customStyle="1" w:styleId="Nagwek6Znak">
    <w:name w:val="Nagłówek 6 Znak"/>
    <w:basedOn w:val="Domylnaczcionkaakapitu"/>
    <w:rPr>
      <w:rFonts w:ascii="Calibri" w:eastAsia="Calibri" w:hAnsi="Calibri" w:cs="Times New Roman"/>
      <w:b/>
      <w:bCs/>
    </w:rPr>
  </w:style>
  <w:style w:type="character" w:customStyle="1" w:styleId="Nagwek5Znak">
    <w:name w:val="Nagłówek 5 Znak"/>
    <w:basedOn w:val="Domylnaczcionkaakapitu"/>
    <w:rPr>
      <w:rFonts w:ascii="Calibri" w:eastAsia="Calibri" w:hAnsi="Calibri" w:cs="Times New Roman"/>
      <w:b/>
      <w:bCs/>
      <w:i/>
      <w:iCs/>
      <w:sz w:val="26"/>
      <w:szCs w:val="26"/>
    </w:rPr>
  </w:style>
  <w:style w:type="character" w:customStyle="1" w:styleId="Nagwek4Znak">
    <w:name w:val="Nagłówek 4 Znak"/>
    <w:basedOn w:val="Domylnaczcionkaakapitu"/>
    <w:rPr>
      <w:rFonts w:ascii="Cambria" w:eastAsia="Cambria" w:hAnsi="Cambria" w:cs="Times New Roman"/>
      <w:b/>
      <w:bCs/>
      <w:i/>
      <w:iCs/>
      <w:color w:val="4F81BD"/>
      <w:sz w:val="24"/>
      <w:szCs w:val="24"/>
    </w:rPr>
  </w:style>
  <w:style w:type="character" w:customStyle="1" w:styleId="Nagwek3Znak">
    <w:name w:val="Nagłówek 3 Znak"/>
    <w:basedOn w:val="Domylnaczcionkaakapitu"/>
    <w:rPr>
      <w:rFonts w:ascii="Cambria" w:eastAsia="Cambria" w:hAnsi="Cambria" w:cs="Times New Roman"/>
      <w:b/>
      <w:bCs/>
      <w:sz w:val="26"/>
      <w:szCs w:val="26"/>
    </w:rPr>
  </w:style>
  <w:style w:type="character" w:customStyle="1" w:styleId="Nagwek2Znak">
    <w:name w:val="Nagłówek 2 Znak"/>
    <w:basedOn w:val="Domylnaczcionkaakapitu"/>
    <w:rPr>
      <w:rFonts w:ascii="Cambria" w:eastAsia="Cambria" w:hAnsi="Cambria" w:cs="Times New Roman"/>
      <w:b/>
      <w:bCs/>
      <w:color w:val="4F81BD"/>
      <w:sz w:val="26"/>
      <w:szCs w:val="26"/>
    </w:rPr>
  </w:style>
  <w:style w:type="numbering" w:customStyle="1" w:styleId="NoList">
    <w:name w:val="No List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  <w:style w:type="numbering" w:customStyle="1" w:styleId="WWNum8">
    <w:name w:val="WWNum8"/>
    <w:basedOn w:val="Bezlisty"/>
    <w:pPr>
      <w:numPr>
        <w:numId w:val="9"/>
      </w:numPr>
    </w:pPr>
  </w:style>
  <w:style w:type="numbering" w:customStyle="1" w:styleId="WWNum9">
    <w:name w:val="WWNum9"/>
    <w:basedOn w:val="Bezlisty"/>
    <w:pPr>
      <w:numPr>
        <w:numId w:val="10"/>
      </w:numPr>
    </w:pPr>
  </w:style>
  <w:style w:type="numbering" w:customStyle="1" w:styleId="WWNum10">
    <w:name w:val="WWNum10"/>
    <w:basedOn w:val="Bezlisty"/>
    <w:pPr>
      <w:numPr>
        <w:numId w:val="11"/>
      </w:numPr>
    </w:pPr>
  </w:style>
  <w:style w:type="numbering" w:customStyle="1" w:styleId="WWNum11">
    <w:name w:val="WWNum11"/>
    <w:basedOn w:val="Bezlisty"/>
    <w:pPr>
      <w:numPr>
        <w:numId w:val="12"/>
      </w:numPr>
    </w:pPr>
  </w:style>
  <w:style w:type="numbering" w:customStyle="1" w:styleId="WWNum12">
    <w:name w:val="WWNum12"/>
    <w:basedOn w:val="Bezlisty"/>
    <w:pPr>
      <w:numPr>
        <w:numId w:val="13"/>
      </w:numPr>
    </w:pPr>
  </w:style>
  <w:style w:type="numbering" w:customStyle="1" w:styleId="WWNum13">
    <w:name w:val="WWNum13"/>
    <w:basedOn w:val="Bezlisty"/>
    <w:pPr>
      <w:numPr>
        <w:numId w:val="14"/>
      </w:numPr>
    </w:pPr>
  </w:style>
  <w:style w:type="numbering" w:customStyle="1" w:styleId="WWNum14">
    <w:name w:val="WWNum14"/>
    <w:basedOn w:val="Bezlisty"/>
    <w:pPr>
      <w:numPr>
        <w:numId w:val="15"/>
      </w:numPr>
    </w:pPr>
  </w:style>
  <w:style w:type="numbering" w:customStyle="1" w:styleId="WWNum15">
    <w:name w:val="WWNum15"/>
    <w:basedOn w:val="Bezlisty"/>
    <w:pPr>
      <w:numPr>
        <w:numId w:val="16"/>
      </w:numPr>
    </w:pPr>
  </w:style>
  <w:style w:type="numbering" w:customStyle="1" w:styleId="WWNum16">
    <w:name w:val="WWNum16"/>
    <w:basedOn w:val="Bezlisty"/>
    <w:pPr>
      <w:numPr>
        <w:numId w:val="17"/>
      </w:numPr>
    </w:pPr>
  </w:style>
  <w:style w:type="numbering" w:customStyle="1" w:styleId="WWNum17">
    <w:name w:val="WWNum17"/>
    <w:basedOn w:val="Bezlisty"/>
    <w:pPr>
      <w:numPr>
        <w:numId w:val="18"/>
      </w:numPr>
    </w:pPr>
  </w:style>
  <w:style w:type="numbering" w:customStyle="1" w:styleId="WWNum18">
    <w:name w:val="WWNum18"/>
    <w:basedOn w:val="Bezlisty"/>
    <w:pPr>
      <w:numPr>
        <w:numId w:val="19"/>
      </w:numPr>
    </w:pPr>
  </w:style>
  <w:style w:type="numbering" w:customStyle="1" w:styleId="WWNum19">
    <w:name w:val="WWNum19"/>
    <w:basedOn w:val="Bezlisty"/>
    <w:pPr>
      <w:numPr>
        <w:numId w:val="20"/>
      </w:numPr>
    </w:pPr>
  </w:style>
  <w:style w:type="numbering" w:customStyle="1" w:styleId="WWNum20">
    <w:name w:val="WWNum20"/>
    <w:basedOn w:val="Bezlisty"/>
    <w:pPr>
      <w:numPr>
        <w:numId w:val="21"/>
      </w:numPr>
    </w:pPr>
  </w:style>
  <w:style w:type="numbering" w:customStyle="1" w:styleId="WWNum21">
    <w:name w:val="WWNum21"/>
    <w:basedOn w:val="Bezlisty"/>
    <w:pPr>
      <w:numPr>
        <w:numId w:val="22"/>
      </w:numPr>
    </w:pPr>
  </w:style>
  <w:style w:type="numbering" w:customStyle="1" w:styleId="WWNum22">
    <w:name w:val="WWNum22"/>
    <w:basedOn w:val="Bezlisty"/>
    <w:pPr>
      <w:numPr>
        <w:numId w:val="23"/>
      </w:numPr>
    </w:pPr>
  </w:style>
  <w:style w:type="numbering" w:customStyle="1" w:styleId="WWNum23">
    <w:name w:val="WWNum23"/>
    <w:basedOn w:val="Bezlisty"/>
    <w:pPr>
      <w:numPr>
        <w:numId w:val="24"/>
      </w:numPr>
    </w:pPr>
  </w:style>
  <w:style w:type="numbering" w:customStyle="1" w:styleId="WWNum24">
    <w:name w:val="WWNum24"/>
    <w:basedOn w:val="Bezlisty"/>
    <w:pPr>
      <w:numPr>
        <w:numId w:val="25"/>
      </w:numPr>
    </w:pPr>
  </w:style>
  <w:style w:type="numbering" w:customStyle="1" w:styleId="WWNum25">
    <w:name w:val="WWNum25"/>
    <w:basedOn w:val="Bezlisty"/>
    <w:pPr>
      <w:numPr>
        <w:numId w:val="26"/>
      </w:numPr>
    </w:pPr>
  </w:style>
  <w:style w:type="numbering" w:customStyle="1" w:styleId="WWNum26">
    <w:name w:val="WWNum26"/>
    <w:basedOn w:val="Bezlisty"/>
    <w:pPr>
      <w:numPr>
        <w:numId w:val="27"/>
      </w:numPr>
    </w:pPr>
  </w:style>
  <w:style w:type="numbering" w:customStyle="1" w:styleId="WWNum27">
    <w:name w:val="WWNum27"/>
    <w:basedOn w:val="Bezlisty"/>
    <w:pPr>
      <w:numPr>
        <w:numId w:val="28"/>
      </w:numPr>
    </w:pPr>
  </w:style>
  <w:style w:type="numbering" w:customStyle="1" w:styleId="WWNum28">
    <w:name w:val="WWNum28"/>
    <w:basedOn w:val="Bezlisty"/>
    <w:pPr>
      <w:numPr>
        <w:numId w:val="29"/>
      </w:numPr>
    </w:pPr>
  </w:style>
  <w:style w:type="numbering" w:customStyle="1" w:styleId="WWNum29">
    <w:name w:val="WWNum29"/>
    <w:basedOn w:val="Bezlisty"/>
    <w:pPr>
      <w:numPr>
        <w:numId w:val="30"/>
      </w:numPr>
    </w:pPr>
  </w:style>
  <w:style w:type="numbering" w:customStyle="1" w:styleId="WWNum30">
    <w:name w:val="WWNum30"/>
    <w:basedOn w:val="Bezlisty"/>
    <w:pPr>
      <w:numPr>
        <w:numId w:val="31"/>
      </w:numPr>
    </w:pPr>
  </w:style>
  <w:style w:type="numbering" w:customStyle="1" w:styleId="WWNum31">
    <w:name w:val="WWNum31"/>
    <w:basedOn w:val="Bezlisty"/>
    <w:pPr>
      <w:numPr>
        <w:numId w:val="32"/>
      </w:numPr>
    </w:pPr>
  </w:style>
  <w:style w:type="numbering" w:customStyle="1" w:styleId="WWNum32">
    <w:name w:val="WWNum32"/>
    <w:basedOn w:val="Bezlisty"/>
    <w:pPr>
      <w:numPr>
        <w:numId w:val="33"/>
      </w:numPr>
    </w:pPr>
  </w:style>
  <w:style w:type="numbering" w:customStyle="1" w:styleId="WWNum33">
    <w:name w:val="WWNum33"/>
    <w:basedOn w:val="Bezlisty"/>
    <w:pPr>
      <w:numPr>
        <w:numId w:val="34"/>
      </w:numPr>
    </w:pPr>
  </w:style>
  <w:style w:type="numbering" w:customStyle="1" w:styleId="WWNum34">
    <w:name w:val="WWNum34"/>
    <w:basedOn w:val="Bezlisty"/>
    <w:pPr>
      <w:numPr>
        <w:numId w:val="35"/>
      </w:numPr>
    </w:pPr>
  </w:style>
  <w:style w:type="numbering" w:customStyle="1" w:styleId="WWNum35">
    <w:name w:val="WWNum35"/>
    <w:basedOn w:val="Bezlisty"/>
    <w:pPr>
      <w:numPr>
        <w:numId w:val="36"/>
      </w:numPr>
    </w:pPr>
  </w:style>
  <w:style w:type="numbering" w:customStyle="1" w:styleId="WWNum36">
    <w:name w:val="WWNum36"/>
    <w:basedOn w:val="Bezlisty"/>
    <w:pPr>
      <w:numPr>
        <w:numId w:val="37"/>
      </w:numPr>
    </w:pPr>
  </w:style>
  <w:style w:type="numbering" w:customStyle="1" w:styleId="WWNum37">
    <w:name w:val="WWNum37"/>
    <w:basedOn w:val="Bezlisty"/>
    <w:pPr>
      <w:numPr>
        <w:numId w:val="38"/>
      </w:numPr>
    </w:pPr>
  </w:style>
  <w:style w:type="numbering" w:customStyle="1" w:styleId="WWNum38">
    <w:name w:val="WWNum38"/>
    <w:basedOn w:val="Bezlisty"/>
    <w:pPr>
      <w:numPr>
        <w:numId w:val="39"/>
      </w:numPr>
    </w:pPr>
  </w:style>
  <w:style w:type="numbering" w:customStyle="1" w:styleId="WWNum39">
    <w:name w:val="WWNum39"/>
    <w:basedOn w:val="Bezlisty"/>
    <w:pPr>
      <w:numPr>
        <w:numId w:val="40"/>
      </w:numPr>
    </w:pPr>
  </w:style>
  <w:style w:type="numbering" w:customStyle="1" w:styleId="WWNum40">
    <w:name w:val="WWNum40"/>
    <w:basedOn w:val="Bezlisty"/>
    <w:pPr>
      <w:numPr>
        <w:numId w:val="41"/>
      </w:numPr>
    </w:pPr>
  </w:style>
  <w:style w:type="numbering" w:customStyle="1" w:styleId="WWNum41">
    <w:name w:val="WWNum41"/>
    <w:basedOn w:val="Bezlisty"/>
    <w:pPr>
      <w:numPr>
        <w:numId w:val="42"/>
      </w:numPr>
    </w:pPr>
  </w:style>
  <w:style w:type="numbering" w:customStyle="1" w:styleId="WWNum42">
    <w:name w:val="WWNum42"/>
    <w:basedOn w:val="Bezlisty"/>
    <w:pPr>
      <w:numPr>
        <w:numId w:val="43"/>
      </w:numPr>
    </w:pPr>
  </w:style>
  <w:style w:type="numbering" w:customStyle="1" w:styleId="WWNum43">
    <w:name w:val="WWNum43"/>
    <w:basedOn w:val="Bezlisty"/>
    <w:pPr>
      <w:numPr>
        <w:numId w:val="44"/>
      </w:numPr>
    </w:pPr>
  </w:style>
  <w:style w:type="numbering" w:customStyle="1" w:styleId="WWNum44">
    <w:name w:val="WWNum44"/>
    <w:basedOn w:val="Bezlisty"/>
    <w:pPr>
      <w:numPr>
        <w:numId w:val="45"/>
      </w:numPr>
    </w:pPr>
  </w:style>
  <w:style w:type="numbering" w:customStyle="1" w:styleId="WWNum45">
    <w:name w:val="WWNum45"/>
    <w:basedOn w:val="Bezlisty"/>
    <w:pPr>
      <w:numPr>
        <w:numId w:val="46"/>
      </w:numPr>
    </w:pPr>
  </w:style>
  <w:style w:type="numbering" w:customStyle="1" w:styleId="WWNum46">
    <w:name w:val="WWNum46"/>
    <w:basedOn w:val="Bezlisty"/>
    <w:pPr>
      <w:numPr>
        <w:numId w:val="47"/>
      </w:numPr>
    </w:pPr>
  </w:style>
  <w:style w:type="numbering" w:customStyle="1" w:styleId="WWNum47">
    <w:name w:val="WWNum47"/>
    <w:basedOn w:val="Bezlisty"/>
    <w:pPr>
      <w:numPr>
        <w:numId w:val="48"/>
      </w:numPr>
    </w:pPr>
  </w:style>
  <w:style w:type="numbering" w:customStyle="1" w:styleId="WWNum48">
    <w:name w:val="WWNum48"/>
    <w:basedOn w:val="Bezlisty"/>
    <w:pPr>
      <w:numPr>
        <w:numId w:val="49"/>
      </w:numPr>
    </w:pPr>
  </w:style>
  <w:style w:type="numbering" w:customStyle="1" w:styleId="WWNum49">
    <w:name w:val="WWNum49"/>
    <w:basedOn w:val="Bezlisty"/>
    <w:pPr>
      <w:numPr>
        <w:numId w:val="50"/>
      </w:numPr>
    </w:pPr>
  </w:style>
  <w:style w:type="numbering" w:customStyle="1" w:styleId="WWNum50">
    <w:name w:val="WWNum50"/>
    <w:basedOn w:val="Bezlisty"/>
    <w:pPr>
      <w:numPr>
        <w:numId w:val="51"/>
      </w:numPr>
    </w:pPr>
  </w:style>
  <w:style w:type="numbering" w:customStyle="1" w:styleId="WWNum51">
    <w:name w:val="WWNum51"/>
    <w:basedOn w:val="Bezlisty"/>
    <w:pPr>
      <w:numPr>
        <w:numId w:val="52"/>
      </w:numPr>
    </w:pPr>
  </w:style>
  <w:style w:type="numbering" w:customStyle="1" w:styleId="WWNum52">
    <w:name w:val="WWNum52"/>
    <w:basedOn w:val="Bezlisty"/>
    <w:pPr>
      <w:numPr>
        <w:numId w:val="53"/>
      </w:numPr>
    </w:pPr>
  </w:style>
  <w:style w:type="numbering" w:customStyle="1" w:styleId="WWNum53">
    <w:name w:val="WWNum53"/>
    <w:basedOn w:val="Bezlisty"/>
    <w:pPr>
      <w:numPr>
        <w:numId w:val="54"/>
      </w:numPr>
    </w:pPr>
  </w:style>
  <w:style w:type="numbering" w:customStyle="1" w:styleId="WWNum54">
    <w:name w:val="WWNum54"/>
    <w:basedOn w:val="Bezlisty"/>
    <w:pPr>
      <w:numPr>
        <w:numId w:val="55"/>
      </w:numPr>
    </w:pPr>
  </w:style>
  <w:style w:type="numbering" w:customStyle="1" w:styleId="WWNum55">
    <w:name w:val="WWNum55"/>
    <w:basedOn w:val="Bezlisty"/>
    <w:pPr>
      <w:numPr>
        <w:numId w:val="56"/>
      </w:numPr>
    </w:pPr>
  </w:style>
  <w:style w:type="numbering" w:customStyle="1" w:styleId="WWNum56">
    <w:name w:val="WWNum56"/>
    <w:basedOn w:val="Bezlisty"/>
    <w:pPr>
      <w:numPr>
        <w:numId w:val="57"/>
      </w:numPr>
    </w:pPr>
  </w:style>
  <w:style w:type="numbering" w:customStyle="1" w:styleId="WWNum57">
    <w:name w:val="WWNum57"/>
    <w:basedOn w:val="Bezlisty"/>
    <w:pPr>
      <w:numPr>
        <w:numId w:val="5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2656</Words>
  <Characters>15938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2025-08-31T10:23:00Z</dcterms:created>
  <dcterms:modified xsi:type="dcterms:W3CDTF">2025-08-31T10:23:00Z</dcterms:modified>
</cp:coreProperties>
</file>