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72"/>
        <w:ind w:left="116"/>
      </w:pPr>
      <w:r>
        <w:t>Wymagania</w:t>
      </w:r>
      <w:r>
        <w:rPr>
          <w:spacing w:val="-12"/>
        </w:rPr>
        <w:t xml:space="preserve"> </w:t>
      </w:r>
      <w:r>
        <w:t>edukacyjne</w:t>
      </w:r>
      <w:r>
        <w:rPr>
          <w:spacing w:val="-14"/>
        </w:rPr>
        <w:t xml:space="preserve"> </w:t>
      </w:r>
      <w:r>
        <w:t>niezbędne</w:t>
      </w:r>
      <w:r>
        <w:rPr>
          <w:spacing w:val="-14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otrzymania</w:t>
      </w:r>
      <w:r>
        <w:rPr>
          <w:spacing w:val="-14"/>
        </w:rPr>
        <w:t xml:space="preserve"> </w:t>
      </w:r>
      <w:r>
        <w:t>przez</w:t>
      </w:r>
      <w:r>
        <w:rPr>
          <w:spacing w:val="-8"/>
        </w:rPr>
        <w:t xml:space="preserve"> </w:t>
      </w:r>
      <w:r>
        <w:t>ucznia</w:t>
      </w:r>
      <w:r>
        <w:rPr>
          <w:spacing w:val="-14"/>
        </w:rPr>
        <w:t xml:space="preserve"> </w:t>
      </w:r>
      <w:r>
        <w:t>poszczególnych</w:t>
      </w:r>
      <w:r>
        <w:rPr>
          <w:spacing w:val="-12"/>
        </w:rPr>
        <w:t xml:space="preserve"> </w:t>
      </w:r>
      <w:r>
        <w:t>śródrocznych</w:t>
      </w:r>
      <w:r>
        <w:rPr>
          <w:spacing w:val="-11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rocznych</w:t>
      </w:r>
      <w:r>
        <w:rPr>
          <w:spacing w:val="-7"/>
        </w:rPr>
        <w:t xml:space="preserve"> </w:t>
      </w:r>
      <w:r>
        <w:t>ocen</w:t>
      </w:r>
      <w:r>
        <w:rPr>
          <w:spacing w:val="-7"/>
        </w:rPr>
        <w:t xml:space="preserve"> </w:t>
      </w:r>
      <w:r>
        <w:t>klasyfikacyjnych</w:t>
      </w:r>
      <w:r>
        <w:rPr>
          <w:spacing w:val="-7"/>
        </w:rPr>
        <w:t xml:space="preserve"> </w:t>
      </w:r>
      <w:r>
        <w:t>z</w:t>
      </w:r>
      <w:r>
        <w:rPr>
          <w:spacing w:val="-12"/>
        </w:rPr>
        <w:t xml:space="preserve"> </w:t>
      </w:r>
      <w:r>
        <w:rPr>
          <w:spacing w:val="-2"/>
        </w:rPr>
        <w:t>przedmiotu</w:t>
      </w:r>
    </w:p>
    <w:p>
      <w:pPr>
        <w:pStyle w:val="4"/>
        <w:spacing w:before="34"/>
        <w:ind w:left="116"/>
      </w:pPr>
      <w:r>
        <w:t xml:space="preserve">Obsługa klienta i kontrahenta w logistyce kl 2 technikum logistycznego </w:t>
      </w:r>
    </w:p>
    <w:p>
      <w:pPr>
        <w:pStyle w:val="4"/>
        <w:spacing w:before="34"/>
        <w:ind w:left="116"/>
      </w:pPr>
    </w:p>
    <w:p>
      <w:pPr>
        <w:pStyle w:val="4"/>
        <w:spacing w:before="34"/>
        <w:ind w:left="116"/>
      </w:pPr>
    </w:p>
    <w:p/>
    <w:p>
      <w:r>
        <w:rPr>
          <w:rFonts w:eastAsia="SimSun"/>
        </w:rPr>
        <w:t xml:space="preserve">Cele ogólne: </w:t>
      </w:r>
    </w:p>
    <w:p>
      <w:r>
        <w:rPr>
          <w:rFonts w:eastAsia="SimSun"/>
        </w:rPr>
        <w:t xml:space="preserve">1. Kształtowanie kompetencji niezbędnych dla realizacji zadań zawodowych w zakresie obsługi klientów i kontrahentów. Cele </w:t>
      </w:r>
    </w:p>
    <w:p>
      <w:r>
        <w:rPr>
          <w:rFonts w:eastAsia="SimSun"/>
        </w:rPr>
        <w:t xml:space="preserve">operacyjne </w:t>
      </w:r>
    </w:p>
    <w:p>
      <w:r>
        <w:rPr>
          <w:rFonts w:eastAsia="SimSun"/>
        </w:rPr>
        <w:t xml:space="preserve">Uczeń potrafi: </w:t>
      </w:r>
    </w:p>
    <w:p>
      <w:r>
        <w:rPr>
          <w:rFonts w:eastAsia="SimSun"/>
        </w:rPr>
        <w:t xml:space="preserve">• </w:t>
      </w:r>
    </w:p>
    <w:p>
      <w:r>
        <w:rPr>
          <w:rFonts w:eastAsia="SimSun"/>
        </w:rPr>
        <w:t xml:space="preserve">zastosować zasady ubezpieczeń </w:t>
      </w:r>
    </w:p>
    <w:p>
      <w:r>
        <w:rPr>
          <w:rFonts w:eastAsia="SimSun"/>
        </w:rPr>
        <w:t xml:space="preserve">• </w:t>
      </w:r>
    </w:p>
    <w:p>
      <w:r>
        <w:rPr>
          <w:rFonts w:eastAsia="SimSun"/>
        </w:rPr>
        <w:t xml:space="preserve">przeprowadzić rozmowy sprzedażowe, </w:t>
      </w:r>
    </w:p>
    <w:p>
      <w:r>
        <w:rPr>
          <w:rFonts w:eastAsia="SimSun"/>
        </w:rPr>
        <w:t xml:space="preserve">• </w:t>
      </w:r>
    </w:p>
    <w:p>
      <w:r>
        <w:rPr>
          <w:rFonts w:eastAsia="SimSun"/>
        </w:rPr>
        <w:t xml:space="preserve">Tworzyć dokumentacje ubezpieczeniowa , </w:t>
      </w:r>
    </w:p>
    <w:p>
      <w:r>
        <w:rPr>
          <w:rFonts w:eastAsia="SimSun"/>
        </w:rPr>
        <w:t xml:space="preserve">• </w:t>
      </w:r>
    </w:p>
    <w:p>
      <w:r>
        <w:rPr>
          <w:rFonts w:eastAsia="SimSun"/>
        </w:rPr>
        <w:t xml:space="preserve">przygotować ofertę ubezpieczeniowa , </w:t>
      </w:r>
    </w:p>
    <w:p>
      <w:r>
        <w:rPr>
          <w:rFonts w:eastAsia="SimSun"/>
        </w:rPr>
        <w:t xml:space="preserve">• </w:t>
      </w:r>
    </w:p>
    <w:p>
      <w:r>
        <w:rPr>
          <w:rFonts w:eastAsia="SimSun"/>
        </w:rPr>
        <w:t xml:space="preserve">Zna pracownie badań sondażowych funkcjonujących w Polsce, </w:t>
      </w:r>
    </w:p>
    <w:p>
      <w:r>
        <w:rPr>
          <w:rFonts w:eastAsia="SimSun"/>
        </w:rPr>
        <w:t xml:space="preserve">• </w:t>
      </w:r>
    </w:p>
    <w:p>
      <w:r>
        <w:rPr>
          <w:rFonts w:eastAsia="SimSun"/>
        </w:rPr>
        <w:t xml:space="preserve">zastosować przepisy prawa ubezpieczeń i pracy , </w:t>
      </w:r>
    </w:p>
    <w:p>
      <w:r>
        <w:rPr>
          <w:rFonts w:eastAsia="SimSun"/>
        </w:rPr>
        <w:t xml:space="preserve">• </w:t>
      </w:r>
    </w:p>
    <w:p>
      <w:r>
        <w:rPr>
          <w:rFonts w:eastAsia="SimSun"/>
        </w:rPr>
        <w:t xml:space="preserve">przeprowadzić proces reklamacji w zawieraniu umowy ubezpieczeniowej  </w:t>
      </w:r>
    </w:p>
    <w:p>
      <w:r>
        <w:rPr>
          <w:rFonts w:eastAsia="SimSun"/>
        </w:rPr>
        <w:t xml:space="preserve">• </w:t>
      </w:r>
    </w:p>
    <w:p>
      <w:r>
        <w:rPr>
          <w:rFonts w:eastAsia="SimSun"/>
        </w:rPr>
        <w:t xml:space="preserve">przestrzegać tajemnicy i przepisów o ochronie informacji podczas realizacji zadań zawodowych, </w:t>
      </w:r>
    </w:p>
    <w:p>
      <w:r>
        <w:rPr>
          <w:rFonts w:eastAsia="SimSun"/>
        </w:rPr>
        <w:t xml:space="preserve">• </w:t>
      </w:r>
    </w:p>
    <w:p>
      <w:r>
        <w:rPr>
          <w:rFonts w:eastAsia="SimSun"/>
        </w:rPr>
        <w:t xml:space="preserve">poradzić sobie w sytuacjach stresowych, </w:t>
      </w:r>
    </w:p>
    <w:p>
      <w:r>
        <w:rPr>
          <w:rFonts w:eastAsia="SimSun"/>
        </w:rPr>
        <w:t xml:space="preserve">• </w:t>
      </w:r>
    </w:p>
    <w:p>
      <w:r>
        <w:rPr>
          <w:rFonts w:eastAsia="SimSun"/>
        </w:rPr>
        <w:t>zadbać o własny rozwój zawodowy</w:t>
      </w:r>
    </w:p>
    <w:p>
      <w:pPr>
        <w:pStyle w:val="4"/>
        <w:spacing w:before="34"/>
        <w:ind w:left="116"/>
      </w:pPr>
    </w:p>
    <w:p>
      <w:pPr>
        <w:pStyle w:val="4"/>
        <w:spacing w:before="34"/>
        <w:ind w:left="116"/>
      </w:pPr>
    </w:p>
    <w:p>
      <w:pPr>
        <w:pStyle w:val="4"/>
        <w:spacing w:before="34"/>
        <w:ind w:left="116"/>
      </w:pPr>
    </w:p>
    <w:p>
      <w:pPr>
        <w:pStyle w:val="4"/>
        <w:spacing w:before="34"/>
        <w:ind w:left="116"/>
      </w:pPr>
    </w:p>
    <w:p>
      <w:pPr>
        <w:pStyle w:val="4"/>
        <w:spacing w:before="6"/>
      </w:pPr>
    </w:p>
    <w:p>
      <w:pPr>
        <w:pStyle w:val="4"/>
        <w:spacing w:before="6"/>
      </w:pPr>
    </w:p>
    <w:p>
      <w:pPr>
        <w:pStyle w:val="4"/>
        <w:spacing w:before="6"/>
      </w:pPr>
    </w:p>
    <w:p>
      <w:pPr>
        <w:pStyle w:val="4"/>
        <w:spacing w:before="6"/>
      </w:pPr>
    </w:p>
    <w:p>
      <w:pPr>
        <w:pStyle w:val="4"/>
        <w:spacing w:before="6"/>
      </w:pPr>
    </w:p>
    <w:p>
      <w:pPr>
        <w:pStyle w:val="4"/>
        <w:spacing w:before="6"/>
      </w:pPr>
    </w:p>
    <w:p>
      <w:pPr>
        <w:pStyle w:val="4"/>
        <w:spacing w:before="6"/>
      </w:pPr>
    </w:p>
    <w:p>
      <w:pPr>
        <w:pStyle w:val="4"/>
        <w:spacing w:before="6"/>
      </w:pPr>
    </w:p>
    <w:p>
      <w:pPr>
        <w:pStyle w:val="4"/>
        <w:spacing w:before="6"/>
      </w:pPr>
    </w:p>
    <w:p>
      <w:pPr>
        <w:pStyle w:val="4"/>
        <w:spacing w:before="6"/>
      </w:pPr>
    </w:p>
    <w:tbl>
      <w:tblPr>
        <w:tblStyle w:val="3"/>
        <w:tblW w:w="0" w:type="auto"/>
        <w:tblInd w:w="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8"/>
        <w:gridCol w:w="509"/>
        <w:gridCol w:w="814"/>
        <w:gridCol w:w="1464"/>
        <w:gridCol w:w="836"/>
        <w:gridCol w:w="1277"/>
        <w:gridCol w:w="1051"/>
        <w:gridCol w:w="1365"/>
        <w:gridCol w:w="896"/>
        <w:gridCol w:w="828"/>
        <w:gridCol w:w="1449"/>
        <w:gridCol w:w="980"/>
        <w:gridCol w:w="132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2531" w:type="dxa"/>
            <w:gridSpan w:val="3"/>
          </w:tcPr>
          <w:p>
            <w:pPr>
              <w:pStyle w:val="6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Efekt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kształcenia</w:t>
            </w:r>
          </w:p>
        </w:tc>
        <w:tc>
          <w:tcPr>
            <w:tcW w:w="2300" w:type="dxa"/>
            <w:gridSpan w:val="2"/>
          </w:tcPr>
          <w:p>
            <w:pPr>
              <w:pStyle w:val="6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Dopuszczający</w:t>
            </w:r>
          </w:p>
        </w:tc>
        <w:tc>
          <w:tcPr>
            <w:tcW w:w="2328" w:type="dxa"/>
            <w:gridSpan w:val="2"/>
          </w:tcPr>
          <w:p>
            <w:pPr>
              <w:pStyle w:val="6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Dostateczny</w:t>
            </w:r>
          </w:p>
        </w:tc>
        <w:tc>
          <w:tcPr>
            <w:tcW w:w="2261" w:type="dxa"/>
            <w:gridSpan w:val="2"/>
          </w:tcPr>
          <w:p>
            <w:pPr>
              <w:pStyle w:val="6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Dobry</w:t>
            </w:r>
          </w:p>
        </w:tc>
        <w:tc>
          <w:tcPr>
            <w:tcW w:w="828" w:type="dxa"/>
            <w:tcBorders>
              <w:right w:val="nil"/>
            </w:tcBorders>
          </w:tcPr>
          <w:p>
            <w:pPr>
              <w:pStyle w:val="6"/>
              <w:spacing w:before="1"/>
              <w:ind w:left="7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Bardzo</w:t>
            </w:r>
          </w:p>
        </w:tc>
        <w:tc>
          <w:tcPr>
            <w:tcW w:w="1449" w:type="dxa"/>
            <w:tcBorders>
              <w:left w:val="nil"/>
            </w:tcBorders>
          </w:tcPr>
          <w:p>
            <w:pPr>
              <w:pStyle w:val="6"/>
              <w:spacing w:before="1"/>
              <w:ind w:left="35"/>
              <w:rPr>
                <w:sz w:val="24"/>
              </w:rPr>
            </w:pPr>
            <w:r>
              <w:rPr>
                <w:spacing w:val="-2"/>
                <w:sz w:val="24"/>
              </w:rPr>
              <w:t>dobry</w:t>
            </w:r>
          </w:p>
        </w:tc>
        <w:tc>
          <w:tcPr>
            <w:tcW w:w="2301" w:type="dxa"/>
            <w:gridSpan w:val="2"/>
          </w:tcPr>
          <w:p>
            <w:pPr>
              <w:pStyle w:val="6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Celujący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6" w:hRule="atLeast"/>
        </w:trPr>
        <w:tc>
          <w:tcPr>
            <w:tcW w:w="2531" w:type="dxa"/>
            <w:gridSpan w:val="3"/>
          </w:tcPr>
          <w:p>
            <w:pPr>
              <w:pStyle w:val="6"/>
              <w:tabs>
                <w:tab w:val="left" w:pos="1665"/>
              </w:tabs>
              <w:spacing w:before="1" w:line="276" w:lineRule="auto"/>
              <w:ind w:left="110" w:right="93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Wie czym są ubezpieczenia ,jakie są ich rodzaje ,poznaje fachowe pojęcia , potrafi opanować dokumentację ubezpieczeniową. Rozróżnia dziedziny ubezpieczeniowe .</w:t>
            </w:r>
          </w:p>
        </w:tc>
        <w:tc>
          <w:tcPr>
            <w:tcW w:w="2300" w:type="dxa"/>
            <w:gridSpan w:val="2"/>
          </w:tcPr>
          <w:p>
            <w:pPr>
              <w:pStyle w:val="6"/>
              <w:spacing w:before="1" w:line="276" w:lineRule="auto"/>
              <w:ind w:left="104" w:right="95"/>
              <w:jc w:val="both"/>
              <w:rPr>
                <w:sz w:val="24"/>
              </w:rPr>
            </w:pPr>
            <w:r>
              <w:rPr>
                <w:sz w:val="24"/>
              </w:rPr>
              <w:t>Opisuje wymagania dotyczące asekuracji wymienia czynniki ubezpieczeń ,</w:t>
            </w:r>
          </w:p>
          <w:p>
            <w:pPr>
              <w:pStyle w:val="6"/>
              <w:tabs>
                <w:tab w:val="left" w:pos="1587"/>
              </w:tabs>
              <w:spacing w:before="200" w:line="278" w:lineRule="auto"/>
              <w:ind w:left="104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opisuje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źródła </w:t>
            </w:r>
            <w:r>
              <w:rPr>
                <w:sz w:val="24"/>
              </w:rPr>
              <w:t xml:space="preserve">i rodzaje ubezpieczeń </w:t>
            </w:r>
          </w:p>
        </w:tc>
        <w:tc>
          <w:tcPr>
            <w:tcW w:w="2328" w:type="dxa"/>
            <w:gridSpan w:val="2"/>
          </w:tcPr>
          <w:p>
            <w:pPr>
              <w:pStyle w:val="6"/>
              <w:spacing w:before="1" w:line="276" w:lineRule="auto"/>
              <w:ind w:right="398"/>
              <w:rPr>
                <w:sz w:val="24"/>
              </w:rPr>
            </w:pPr>
            <w:r>
              <w:rPr>
                <w:sz w:val="24"/>
              </w:rPr>
              <w:t xml:space="preserve">Opisuje sposoby </w:t>
            </w:r>
            <w:r>
              <w:rPr>
                <w:spacing w:val="-2"/>
                <w:sz w:val="24"/>
              </w:rPr>
              <w:t xml:space="preserve">zapobiegania </w:t>
            </w:r>
            <w:r>
              <w:rPr>
                <w:sz w:val="24"/>
              </w:rPr>
              <w:t>zagrożeniom.</w:t>
            </w:r>
          </w:p>
          <w:p>
            <w:pPr>
              <w:pStyle w:val="6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korzysta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instrukcji tworzenia polis ubezpieczeniowych </w:t>
            </w:r>
          </w:p>
          <w:p>
            <w:pPr>
              <w:pStyle w:val="6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Dokonuje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analizy </w:t>
            </w:r>
            <w:r>
              <w:rPr>
                <w:spacing w:val="-2"/>
                <w:sz w:val="24"/>
              </w:rPr>
              <w:t>rozwiązań</w:t>
            </w:r>
          </w:p>
          <w:p>
            <w:pPr>
              <w:pStyle w:val="6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technicznych</w:t>
            </w:r>
          </w:p>
          <w:p>
            <w:pPr>
              <w:pStyle w:val="6"/>
              <w:spacing w:before="35" w:line="276" w:lineRule="auto"/>
              <w:rPr>
                <w:sz w:val="24"/>
              </w:rPr>
            </w:pPr>
            <w:r>
              <w:rPr>
                <w:sz w:val="24"/>
              </w:rPr>
              <w:t>i organizacyjnych warunków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jakości zakładów ubezpieczeniowych na rynku .</w:t>
            </w:r>
          </w:p>
        </w:tc>
        <w:tc>
          <w:tcPr>
            <w:tcW w:w="2261" w:type="dxa"/>
            <w:gridSpan w:val="2"/>
          </w:tcPr>
          <w:p>
            <w:pPr>
              <w:pStyle w:val="6"/>
              <w:spacing w:before="1" w:line="276" w:lineRule="auto"/>
              <w:rPr>
                <w:sz w:val="24"/>
              </w:rPr>
            </w:pPr>
            <w:r>
              <w:rPr>
                <w:sz w:val="24"/>
              </w:rPr>
              <w:t>Identyfikuje</w:t>
            </w:r>
            <w:r>
              <w:rPr>
                <w:spacing w:val="-15"/>
                <w:sz w:val="24"/>
              </w:rPr>
              <w:t xml:space="preserve"> pojęcia fachowe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 xml:space="preserve">informacje </w:t>
            </w:r>
          </w:p>
          <w:p>
            <w:pPr>
              <w:pStyle w:val="6"/>
              <w:spacing w:line="276" w:lineRule="auto"/>
              <w:ind w:right="331"/>
              <w:rPr>
                <w:sz w:val="24"/>
              </w:rPr>
            </w:pPr>
            <w:r>
              <w:rPr>
                <w:sz w:val="24"/>
              </w:rPr>
              <w:t>dotyczące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ochrony </w:t>
            </w:r>
            <w:r>
              <w:rPr>
                <w:spacing w:val="-2"/>
                <w:sz w:val="24"/>
              </w:rPr>
              <w:t>przeciwpożarowej</w:t>
            </w:r>
          </w:p>
          <w:p>
            <w:pPr>
              <w:pStyle w:val="6"/>
              <w:spacing w:before="200" w:line="276" w:lineRule="auto"/>
              <w:ind w:right="611"/>
              <w:rPr>
                <w:sz w:val="24"/>
              </w:rPr>
            </w:pPr>
            <w:r>
              <w:rPr>
                <w:sz w:val="24"/>
              </w:rPr>
              <w:t>rozpoznaje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oraz stosuje środki</w:t>
            </w:r>
          </w:p>
          <w:p>
            <w:pPr>
              <w:pStyle w:val="6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językowe</w:t>
            </w:r>
          </w:p>
          <w:p>
            <w:pPr>
              <w:pStyle w:val="6"/>
              <w:spacing w:before="243"/>
              <w:rPr>
                <w:sz w:val="24"/>
              </w:rPr>
            </w:pPr>
            <w:r>
              <w:rPr>
                <w:spacing w:val="-2"/>
                <w:sz w:val="24"/>
              </w:rPr>
              <w:t>umożliwiające</w:t>
            </w:r>
          </w:p>
          <w:p>
            <w:pPr>
              <w:pStyle w:val="6"/>
              <w:spacing w:before="41" w:line="276" w:lineRule="auto"/>
              <w:ind w:right="198"/>
              <w:rPr>
                <w:sz w:val="24"/>
              </w:rPr>
            </w:pPr>
            <w:r>
              <w:rPr>
                <w:sz w:val="24"/>
              </w:rPr>
              <w:t>realizację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czynności tworzenia analiz ubezpieczeniowych </w:t>
            </w:r>
          </w:p>
        </w:tc>
        <w:tc>
          <w:tcPr>
            <w:tcW w:w="2277" w:type="dxa"/>
            <w:gridSpan w:val="2"/>
          </w:tcPr>
          <w:p>
            <w:pPr>
              <w:pStyle w:val="6"/>
              <w:spacing w:before="1" w:line="276" w:lineRule="auto"/>
              <w:ind w:left="105" w:right="124"/>
              <w:rPr>
                <w:sz w:val="24"/>
              </w:rPr>
            </w:pPr>
            <w:r>
              <w:rPr>
                <w:spacing w:val="-2"/>
                <w:sz w:val="24"/>
              </w:rPr>
              <w:t>Omawia konsekwencje</w:t>
            </w:r>
          </w:p>
          <w:p>
            <w:pPr>
              <w:pStyle w:val="6"/>
              <w:spacing w:line="278" w:lineRule="auto"/>
              <w:ind w:left="105" w:right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nieprzestrzegania prawa cywilnego w zakresie ubezpieczeń </w:t>
            </w:r>
          </w:p>
          <w:p>
            <w:pPr>
              <w:pStyle w:val="6"/>
              <w:spacing w:line="276" w:lineRule="auto"/>
              <w:ind w:left="105" w:right="870"/>
              <w:rPr>
                <w:sz w:val="24"/>
              </w:rPr>
            </w:pPr>
          </w:p>
          <w:p>
            <w:pPr>
              <w:pStyle w:val="6"/>
              <w:spacing w:before="194" w:line="276" w:lineRule="auto"/>
              <w:ind w:left="105" w:right="537"/>
              <w:rPr>
                <w:sz w:val="24"/>
              </w:rPr>
            </w:pPr>
            <w:r>
              <w:rPr>
                <w:sz w:val="24"/>
              </w:rPr>
              <w:t>określa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działania składające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na</w:t>
            </w:r>
          </w:p>
          <w:p>
            <w:pPr>
              <w:pStyle w:val="6"/>
              <w:spacing w:line="276" w:lineRule="auto"/>
              <w:ind w:left="105" w:right="124"/>
              <w:rPr>
                <w:sz w:val="24"/>
              </w:rPr>
            </w:pPr>
            <w:r>
              <w:rPr>
                <w:sz w:val="24"/>
              </w:rPr>
              <w:t>wykonanie zadania, monitoruje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realizację </w:t>
            </w:r>
            <w:r>
              <w:rPr>
                <w:spacing w:val="-2"/>
                <w:sz w:val="24"/>
              </w:rPr>
              <w:t>zaplanowanych</w:t>
            </w:r>
          </w:p>
          <w:p>
            <w:pPr>
              <w:pStyle w:val="6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działań</w:t>
            </w:r>
          </w:p>
        </w:tc>
        <w:tc>
          <w:tcPr>
            <w:tcW w:w="2301" w:type="dxa"/>
            <w:gridSpan w:val="2"/>
          </w:tcPr>
          <w:p>
            <w:pPr>
              <w:pStyle w:val="6"/>
              <w:spacing w:before="1" w:line="276" w:lineRule="auto"/>
              <w:ind w:right="144"/>
              <w:rPr>
                <w:sz w:val="24"/>
              </w:rPr>
            </w:pPr>
            <w:r>
              <w:rPr>
                <w:sz w:val="24"/>
              </w:rPr>
              <w:t xml:space="preserve">Opisuje wymagania prawa polskiego i unijnego odnośnie norm ubezpieczeniowych </w:t>
            </w:r>
          </w:p>
          <w:p>
            <w:pPr>
              <w:pStyle w:val="6"/>
              <w:spacing w:before="196" w:line="278" w:lineRule="auto"/>
              <w:ind w:right="317"/>
              <w:rPr>
                <w:sz w:val="24"/>
              </w:rPr>
            </w:pPr>
            <w:r>
              <w:rPr>
                <w:sz w:val="24"/>
              </w:rPr>
              <w:t>opisuje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wymagania asekuracyjne  dla stanowiska pracy</w:t>
            </w:r>
          </w:p>
          <w:p>
            <w:pPr>
              <w:pStyle w:val="6"/>
              <w:spacing w:before="192" w:line="276" w:lineRule="auto"/>
              <w:ind w:right="3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dokonuje modyfikacji zaplanowanych </w:t>
            </w:r>
            <w:r>
              <w:rPr>
                <w:sz w:val="24"/>
              </w:rPr>
              <w:t xml:space="preserve">działań oraz </w:t>
            </w:r>
            <w:r>
              <w:rPr>
                <w:spacing w:val="-2"/>
                <w:sz w:val="24"/>
              </w:rPr>
              <w:t>samooceny</w:t>
            </w:r>
          </w:p>
          <w:p>
            <w:pPr>
              <w:pStyle w:val="6"/>
              <w:spacing w:before="2"/>
              <w:rPr>
                <w:sz w:val="24"/>
              </w:rPr>
            </w:pPr>
            <w:r>
              <w:rPr>
                <w:sz w:val="24"/>
              </w:rPr>
              <w:t>wykonanej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pracy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2531" w:type="dxa"/>
            <w:gridSpan w:val="3"/>
            <w:tcBorders>
              <w:bottom w:val="nil"/>
            </w:tcBorders>
          </w:tcPr>
          <w:p>
            <w:pPr>
              <w:pStyle w:val="6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Zna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środowisko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branży</w:t>
            </w:r>
          </w:p>
        </w:tc>
        <w:tc>
          <w:tcPr>
            <w:tcW w:w="2300" w:type="dxa"/>
            <w:gridSpan w:val="2"/>
            <w:tcBorders>
              <w:bottom w:val="nil"/>
            </w:tcBorders>
          </w:tcPr>
          <w:p>
            <w:pPr>
              <w:pStyle w:val="6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Rozpoznaje</w:t>
            </w:r>
          </w:p>
        </w:tc>
        <w:tc>
          <w:tcPr>
            <w:tcW w:w="1277" w:type="dxa"/>
            <w:tcBorders>
              <w:bottom w:val="nil"/>
              <w:right w:val="nil"/>
            </w:tcBorders>
          </w:tcPr>
          <w:p>
            <w:pPr>
              <w:pStyle w:val="6"/>
              <w:spacing w:before="1"/>
              <w:ind w:left="0" w:right="2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Omawia</w:t>
            </w:r>
          </w:p>
        </w:tc>
        <w:tc>
          <w:tcPr>
            <w:tcW w:w="1051" w:type="dxa"/>
            <w:tcBorders>
              <w:left w:val="nil"/>
              <w:bottom w:val="nil"/>
            </w:tcBorders>
          </w:tcPr>
          <w:p>
            <w:pPr>
              <w:pStyle w:val="6"/>
              <w:spacing w:before="1"/>
              <w:ind w:left="0"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pojęcia</w:t>
            </w:r>
          </w:p>
        </w:tc>
        <w:tc>
          <w:tcPr>
            <w:tcW w:w="1365" w:type="dxa"/>
            <w:tcBorders>
              <w:bottom w:val="nil"/>
              <w:right w:val="nil"/>
            </w:tcBorders>
          </w:tcPr>
          <w:p>
            <w:pPr>
              <w:pStyle w:val="6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Definiuję</w:t>
            </w:r>
          </w:p>
        </w:tc>
        <w:tc>
          <w:tcPr>
            <w:tcW w:w="896" w:type="dxa"/>
            <w:tcBorders>
              <w:left w:val="nil"/>
              <w:bottom w:val="nil"/>
            </w:tcBorders>
          </w:tcPr>
          <w:p>
            <w:pPr>
              <w:pStyle w:val="6"/>
              <w:spacing w:before="1"/>
              <w:ind w:left="0"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pojęcia</w:t>
            </w:r>
          </w:p>
        </w:tc>
        <w:tc>
          <w:tcPr>
            <w:tcW w:w="828" w:type="dxa"/>
            <w:tcBorders>
              <w:bottom w:val="nil"/>
              <w:right w:val="nil"/>
            </w:tcBorders>
          </w:tcPr>
          <w:p>
            <w:pPr>
              <w:pStyle w:val="6"/>
              <w:spacing w:before="1"/>
              <w:ind w:lef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Podaje</w:t>
            </w:r>
          </w:p>
        </w:tc>
        <w:tc>
          <w:tcPr>
            <w:tcW w:w="1449" w:type="dxa"/>
            <w:tcBorders>
              <w:left w:val="nil"/>
              <w:bottom w:val="nil"/>
            </w:tcBorders>
          </w:tcPr>
          <w:p>
            <w:pPr>
              <w:pStyle w:val="6"/>
              <w:spacing w:before="1"/>
              <w:ind w:left="377"/>
              <w:rPr>
                <w:sz w:val="24"/>
              </w:rPr>
            </w:pPr>
            <w:r>
              <w:rPr>
                <w:spacing w:val="-2"/>
                <w:sz w:val="24"/>
              </w:rPr>
              <w:t>przykłady</w:t>
            </w:r>
          </w:p>
        </w:tc>
        <w:tc>
          <w:tcPr>
            <w:tcW w:w="980" w:type="dxa"/>
            <w:tcBorders>
              <w:bottom w:val="nil"/>
              <w:right w:val="nil"/>
            </w:tcBorders>
          </w:tcPr>
          <w:p>
            <w:pPr>
              <w:pStyle w:val="6"/>
              <w:spacing w:before="1"/>
              <w:rPr>
                <w:rFonts w:hint="default"/>
                <w:sz w:val="24"/>
                <w:lang w:val="pl-PL"/>
              </w:rPr>
            </w:pPr>
            <w:r>
              <w:rPr>
                <w:rFonts w:hint="default"/>
                <w:sz w:val="24"/>
                <w:lang w:val="pl-PL"/>
              </w:rPr>
              <w:t xml:space="preserve">W oparciu o dane tworzy własną polisę . Wyjaśnia i uzasadnia merytorycznie jej treść . </w:t>
            </w:r>
          </w:p>
        </w:tc>
        <w:tc>
          <w:tcPr>
            <w:tcW w:w="1321" w:type="dxa"/>
            <w:tcBorders>
              <w:left w:val="nil"/>
              <w:bottom w:val="nil"/>
            </w:tcBorders>
          </w:tcPr>
          <w:p>
            <w:pPr>
              <w:pStyle w:val="6"/>
              <w:spacing w:before="1"/>
              <w:ind w:left="0" w:right="91"/>
              <w:jc w:val="right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2531" w:type="dxa"/>
            <w:gridSpan w:val="3"/>
            <w:tcBorders>
              <w:top w:val="nil"/>
              <w:bottom w:val="nil"/>
            </w:tcBorders>
          </w:tcPr>
          <w:p>
            <w:pPr>
              <w:pStyle w:val="6"/>
              <w:spacing w:before="12"/>
              <w:ind w:left="110"/>
              <w:rPr>
                <w:sz w:val="24"/>
              </w:rPr>
            </w:pPr>
            <w:r>
              <w:rPr>
                <w:sz w:val="24"/>
              </w:rPr>
              <w:t xml:space="preserve">ubezpieczeniowej </w:t>
            </w:r>
          </w:p>
        </w:tc>
        <w:tc>
          <w:tcPr>
            <w:tcW w:w="1464" w:type="dxa"/>
            <w:tcBorders>
              <w:top w:val="nil"/>
              <w:bottom w:val="nil"/>
              <w:right w:val="nil"/>
            </w:tcBorders>
          </w:tcPr>
          <w:p>
            <w:pPr>
              <w:pStyle w:val="6"/>
              <w:spacing w:before="12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uczestników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</w:tcBorders>
          </w:tcPr>
          <w:p>
            <w:pPr>
              <w:pStyle w:val="6"/>
              <w:spacing w:before="12"/>
              <w:ind w:left="0"/>
              <w:rPr>
                <w:sz w:val="24"/>
              </w:rPr>
            </w:pPr>
            <w:r>
              <w:rPr>
                <w:sz w:val="24"/>
              </w:rPr>
              <w:t>bran</w:t>
            </w:r>
            <w:r>
              <w:rPr>
                <w:sz w:val="24"/>
                <w:lang w:val="pl-PL"/>
              </w:rPr>
              <w:t>ż</w:t>
            </w:r>
            <w:r>
              <w:rPr>
                <w:sz w:val="24"/>
              </w:rPr>
              <w:t>y</w:t>
            </w:r>
          </w:p>
        </w:tc>
        <w:tc>
          <w:tcPr>
            <w:tcW w:w="2328" w:type="dxa"/>
            <w:gridSpan w:val="2"/>
            <w:tcBorders>
              <w:top w:val="nil"/>
              <w:bottom w:val="nil"/>
            </w:tcBorders>
          </w:tcPr>
          <w:p>
            <w:pPr>
              <w:pStyle w:val="6"/>
              <w:spacing w:before="12"/>
              <w:rPr>
                <w:sz w:val="24"/>
              </w:rPr>
            </w:pPr>
            <w:r>
              <w:rPr>
                <w:spacing w:val="-2"/>
                <w:sz w:val="24"/>
              </w:rPr>
              <w:t>związane</w:t>
            </w:r>
          </w:p>
        </w:tc>
        <w:tc>
          <w:tcPr>
            <w:tcW w:w="1365" w:type="dxa"/>
            <w:tcBorders>
              <w:top w:val="nil"/>
              <w:bottom w:val="nil"/>
              <w:right w:val="nil"/>
            </w:tcBorders>
          </w:tcPr>
          <w:p>
            <w:pPr>
              <w:pStyle w:val="6"/>
              <w:tabs>
                <w:tab w:val="left" w:pos="536"/>
              </w:tabs>
              <w:spacing w:before="12"/>
              <w:rPr>
                <w:sz w:val="24"/>
              </w:rPr>
            </w:pPr>
            <w:r>
              <w:rPr>
                <w:spacing w:val="-10"/>
                <w:sz w:val="24"/>
              </w:rPr>
              <w:t>z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zakresu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</w:tcBorders>
          </w:tcPr>
          <w:p>
            <w:pPr>
              <w:pStyle w:val="6"/>
              <w:spacing w:before="12"/>
              <w:ind w:left="0" w:right="1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rynku</w:t>
            </w:r>
          </w:p>
        </w:tc>
        <w:tc>
          <w:tcPr>
            <w:tcW w:w="2277" w:type="dxa"/>
            <w:gridSpan w:val="2"/>
            <w:tcBorders>
              <w:top w:val="nil"/>
              <w:bottom w:val="nil"/>
            </w:tcBorders>
          </w:tcPr>
          <w:p>
            <w:pPr>
              <w:pStyle w:val="6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wpływu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 xml:space="preserve">zmiany ubezpieczeń  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na</w:t>
            </w:r>
          </w:p>
        </w:tc>
        <w:tc>
          <w:tcPr>
            <w:tcW w:w="980" w:type="dxa"/>
            <w:tcBorders>
              <w:top w:val="nil"/>
              <w:bottom w:val="nil"/>
              <w:right w:val="nil"/>
            </w:tcBorders>
          </w:tcPr>
          <w:p>
            <w:pPr>
              <w:pStyle w:val="6"/>
              <w:spacing w:before="12"/>
              <w:ind w:left="0" w:leftChars="0" w:firstLine="0" w:firstLineChars="0"/>
              <w:rPr>
                <w:sz w:val="24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</w:tcBorders>
          </w:tcPr>
          <w:p>
            <w:pPr>
              <w:pStyle w:val="6"/>
              <w:spacing w:before="12"/>
              <w:ind w:left="0" w:right="91"/>
              <w:jc w:val="both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208" w:type="dxa"/>
            <w:tcBorders>
              <w:top w:val="nil"/>
              <w:bottom w:val="nil"/>
              <w:right w:val="nil"/>
            </w:tcBorders>
          </w:tcPr>
          <w:p>
            <w:pPr>
              <w:pStyle w:val="6"/>
              <w:spacing w:before="1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działające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6"/>
              <w:spacing w:before="15"/>
              <w:ind w:left="145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</w:tcBorders>
          </w:tcPr>
          <w:p>
            <w:pPr>
              <w:pStyle w:val="6"/>
              <w:spacing w:before="15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rynku</w:t>
            </w:r>
          </w:p>
        </w:tc>
        <w:tc>
          <w:tcPr>
            <w:tcW w:w="2300" w:type="dxa"/>
            <w:gridSpan w:val="2"/>
            <w:tcBorders>
              <w:top w:val="nil"/>
              <w:bottom w:val="nil"/>
            </w:tcBorders>
          </w:tcPr>
          <w:p>
            <w:pPr>
              <w:pStyle w:val="6"/>
              <w:ind w:left="0"/>
            </w:pPr>
          </w:p>
        </w:tc>
        <w:tc>
          <w:tcPr>
            <w:tcW w:w="2328" w:type="dxa"/>
            <w:gridSpan w:val="2"/>
            <w:tcBorders>
              <w:top w:val="nil"/>
              <w:bottom w:val="nil"/>
            </w:tcBorders>
          </w:tcPr>
          <w:p>
            <w:pPr>
              <w:pStyle w:val="6"/>
              <w:tabs>
                <w:tab w:val="left" w:pos="469"/>
                <w:tab w:val="left" w:pos="1927"/>
              </w:tabs>
              <w:spacing w:before="15"/>
              <w:rPr>
                <w:sz w:val="24"/>
              </w:rPr>
            </w:pPr>
            <w:r>
              <w:rPr>
                <w:spacing w:val="-10"/>
                <w:sz w:val="24"/>
              </w:rPr>
              <w:t>z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 xml:space="preserve">ubezpieczeniami 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2261" w:type="dxa"/>
            <w:gridSpan w:val="2"/>
            <w:tcBorders>
              <w:top w:val="nil"/>
              <w:bottom w:val="nil"/>
            </w:tcBorders>
          </w:tcPr>
          <w:p>
            <w:pPr>
              <w:pStyle w:val="6"/>
              <w:spacing w:before="15"/>
              <w:ind w:left="0" w:leftChars="0" w:firstLine="0" w:firstLineChars="0"/>
              <w:rPr>
                <w:rFonts w:hint="default"/>
                <w:sz w:val="24"/>
                <w:lang w:val="pl-PL"/>
              </w:rPr>
            </w:pPr>
            <w:r>
              <w:rPr>
                <w:rFonts w:hint="default"/>
                <w:sz w:val="24"/>
                <w:lang w:val="pl-PL"/>
              </w:rPr>
              <w:t>Ubezpieczeniowego . Potrafi dokonać analizy ofert ubezpieczeniowych . Samodzielnie wybrać najbardziej korzystną ofertę .</w:t>
            </w:r>
          </w:p>
        </w:tc>
        <w:tc>
          <w:tcPr>
            <w:tcW w:w="2277" w:type="dxa"/>
            <w:gridSpan w:val="2"/>
            <w:tcBorders>
              <w:top w:val="nil"/>
              <w:bottom w:val="nil"/>
            </w:tcBorders>
          </w:tcPr>
          <w:p>
            <w:pPr>
              <w:pStyle w:val="6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różne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sytuacje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życia</w:t>
            </w:r>
          </w:p>
        </w:tc>
        <w:tc>
          <w:tcPr>
            <w:tcW w:w="2301" w:type="dxa"/>
            <w:gridSpan w:val="2"/>
            <w:tcBorders>
              <w:top w:val="nil"/>
              <w:bottom w:val="nil"/>
            </w:tcBorders>
          </w:tcPr>
          <w:p>
            <w:pPr>
              <w:pStyle w:val="6"/>
              <w:spacing w:before="15"/>
              <w:ind w:left="0" w:leftChars="0" w:firstLine="0" w:firstLineChars="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531" w:type="dxa"/>
            <w:gridSpan w:val="3"/>
            <w:tcBorders>
              <w:top w:val="nil"/>
            </w:tcBorders>
          </w:tcPr>
          <w:p>
            <w:pPr>
              <w:pStyle w:val="6"/>
              <w:tabs>
                <w:tab w:val="left" w:pos="930"/>
              </w:tabs>
              <w:spacing w:before="1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usług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transportowych</w:t>
            </w:r>
          </w:p>
        </w:tc>
        <w:tc>
          <w:tcPr>
            <w:tcW w:w="2300" w:type="dxa"/>
            <w:gridSpan w:val="2"/>
            <w:tcBorders>
              <w:top w:val="nil"/>
            </w:tcBorders>
          </w:tcPr>
          <w:p>
            <w:pPr>
              <w:pStyle w:val="6"/>
              <w:ind w:left="0"/>
            </w:pPr>
          </w:p>
        </w:tc>
        <w:tc>
          <w:tcPr>
            <w:tcW w:w="1277" w:type="dxa"/>
            <w:tcBorders>
              <w:top w:val="nil"/>
              <w:right w:val="nil"/>
            </w:tcBorders>
          </w:tcPr>
          <w:p>
            <w:pPr>
              <w:pStyle w:val="6"/>
              <w:spacing w:before="15"/>
              <w:ind w:left="0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Transportu </w:t>
            </w:r>
          </w:p>
        </w:tc>
        <w:tc>
          <w:tcPr>
            <w:tcW w:w="1051" w:type="dxa"/>
            <w:tcBorders>
              <w:top w:val="nil"/>
              <w:left w:val="nil"/>
            </w:tcBorders>
          </w:tcPr>
          <w:p>
            <w:pPr>
              <w:pStyle w:val="6"/>
              <w:spacing w:before="15"/>
              <w:ind w:left="0" w:right="9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proces</w:t>
            </w:r>
          </w:p>
        </w:tc>
        <w:tc>
          <w:tcPr>
            <w:tcW w:w="2261" w:type="dxa"/>
            <w:gridSpan w:val="2"/>
            <w:tcBorders>
              <w:top w:val="nil"/>
            </w:tcBorders>
          </w:tcPr>
          <w:p>
            <w:pPr>
              <w:pStyle w:val="6"/>
              <w:spacing w:before="15"/>
              <w:ind w:left="0"/>
              <w:rPr>
                <w:sz w:val="24"/>
              </w:rPr>
            </w:pPr>
          </w:p>
        </w:tc>
        <w:tc>
          <w:tcPr>
            <w:tcW w:w="2277" w:type="dxa"/>
            <w:gridSpan w:val="2"/>
            <w:tcBorders>
              <w:top w:val="nil"/>
            </w:tcBorders>
          </w:tcPr>
          <w:p>
            <w:pPr>
              <w:pStyle w:val="6"/>
              <w:ind w:left="0"/>
            </w:pPr>
          </w:p>
        </w:tc>
        <w:tc>
          <w:tcPr>
            <w:tcW w:w="2301" w:type="dxa"/>
            <w:gridSpan w:val="2"/>
            <w:tcBorders>
              <w:top w:val="nil"/>
            </w:tcBorders>
          </w:tcPr>
          <w:p>
            <w:pPr>
              <w:pStyle w:val="6"/>
              <w:spacing w:before="15"/>
              <w:ind w:left="0" w:leftChars="0" w:firstLine="0" w:firstLineChars="0"/>
              <w:rPr>
                <w:sz w:val="24"/>
              </w:rPr>
            </w:pPr>
          </w:p>
        </w:tc>
      </w:tr>
    </w:tbl>
    <w:p>
      <w:pPr>
        <w:rPr>
          <w:sz w:val="24"/>
        </w:rPr>
        <w:sectPr>
          <w:pgSz w:w="16840" w:h="11910" w:orient="landscape"/>
          <w:pgMar w:top="1340" w:right="1300" w:bottom="280" w:left="1300" w:header="720" w:footer="720" w:gutter="0"/>
          <w:cols w:space="720" w:num="1"/>
        </w:sectPr>
      </w:pPr>
    </w:p>
    <w:p>
      <w:pPr>
        <w:pStyle w:val="4"/>
        <w:rPr>
          <w:sz w:val="6"/>
        </w:rPr>
      </w:pPr>
    </w:p>
    <w:tbl>
      <w:tblPr>
        <w:tblStyle w:val="3"/>
        <w:tblW w:w="0" w:type="auto"/>
        <w:tblInd w:w="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0"/>
        <w:gridCol w:w="2300"/>
        <w:gridCol w:w="2328"/>
        <w:gridCol w:w="2261"/>
        <w:gridCol w:w="2276"/>
        <w:gridCol w:w="23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6" w:hRule="atLeast"/>
        </w:trPr>
        <w:tc>
          <w:tcPr>
            <w:tcW w:w="2530" w:type="dxa"/>
          </w:tcPr>
          <w:p>
            <w:pPr>
              <w:pStyle w:val="6"/>
              <w:spacing w:before="1" w:line="278" w:lineRule="auto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oraz zadania spedytora w miejscu i na rynku </w:t>
            </w:r>
            <w:r>
              <w:rPr>
                <w:spacing w:val="-2"/>
                <w:sz w:val="24"/>
              </w:rPr>
              <w:t>pracy</w:t>
            </w:r>
          </w:p>
        </w:tc>
        <w:tc>
          <w:tcPr>
            <w:tcW w:w="2300" w:type="dxa"/>
          </w:tcPr>
          <w:p>
            <w:pPr>
              <w:pStyle w:val="6"/>
              <w:spacing w:before="1" w:line="276" w:lineRule="auto"/>
              <w:ind w:left="105"/>
              <w:rPr>
                <w:rFonts w:hint="default"/>
                <w:sz w:val="24"/>
                <w:lang w:val="pl-PL"/>
              </w:rPr>
            </w:pPr>
            <w:r>
              <w:rPr>
                <w:rFonts w:hint="default"/>
                <w:sz w:val="24"/>
                <w:lang w:val="pl-PL"/>
              </w:rPr>
              <w:t>ubezpieczeniowej</w:t>
            </w:r>
          </w:p>
          <w:p>
            <w:pPr>
              <w:pStyle w:val="6"/>
              <w:tabs>
                <w:tab w:val="left" w:pos="1232"/>
              </w:tabs>
              <w:spacing w:before="201" w:line="276" w:lineRule="auto"/>
              <w:ind w:left="105" w:right="100"/>
              <w:rPr>
                <w:rFonts w:hint="default"/>
                <w:sz w:val="24"/>
                <w:lang w:val="pl-PL"/>
              </w:rPr>
            </w:pPr>
            <w:r>
              <w:rPr>
                <w:spacing w:val="-2"/>
                <w:sz w:val="24"/>
              </w:rPr>
              <w:t>określa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czynności organizowane</w:t>
            </w:r>
            <w:r>
              <w:rPr>
                <w:rFonts w:hint="default"/>
                <w:spacing w:val="-2"/>
                <w:sz w:val="24"/>
                <w:lang w:val="pl-PL"/>
              </w:rPr>
              <w:t xml:space="preserve"> </w:t>
            </w:r>
          </w:p>
          <w:p>
            <w:pPr>
              <w:pStyle w:val="6"/>
              <w:spacing w:line="280" w:lineRule="auto"/>
              <w:ind w:left="105"/>
              <w:rPr>
                <w:rFonts w:hint="default"/>
                <w:sz w:val="24"/>
                <w:lang w:val="pl-PL"/>
              </w:rPr>
            </w:pPr>
            <w:r>
              <w:rPr>
                <w:sz w:val="24"/>
              </w:rPr>
              <w:t>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realizowane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 xml:space="preserve">przez </w:t>
            </w:r>
            <w:r>
              <w:rPr>
                <w:rFonts w:hint="default"/>
                <w:sz w:val="24"/>
                <w:lang w:val="pl-PL"/>
              </w:rPr>
              <w:t>firmy ubezpieczeniowe</w:t>
            </w:r>
          </w:p>
          <w:p>
            <w:pPr>
              <w:pStyle w:val="6"/>
              <w:tabs>
                <w:tab w:val="left" w:pos="1108"/>
              </w:tabs>
              <w:spacing w:line="276" w:lineRule="auto"/>
              <w:ind w:left="105" w:right="103"/>
              <w:rPr>
                <w:rFonts w:hint="default"/>
                <w:sz w:val="24"/>
                <w:lang w:val="pl-PL"/>
              </w:rPr>
            </w:pPr>
            <w:r>
              <w:rPr>
                <w:spacing w:val="-2"/>
                <w:sz w:val="24"/>
              </w:rPr>
              <w:t>opis</w:t>
            </w:r>
            <w:r>
              <w:rPr>
                <w:rFonts w:hint="default"/>
                <w:spacing w:val="-2"/>
                <w:sz w:val="24"/>
                <w:lang w:val="pl-PL"/>
              </w:rPr>
              <w:t>uje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działalność </w:t>
            </w:r>
            <w:r>
              <w:rPr>
                <w:rFonts w:hint="default"/>
                <w:spacing w:val="-2"/>
                <w:sz w:val="24"/>
                <w:lang w:val="pl-PL"/>
              </w:rPr>
              <w:t>firm ubezpieczeniowych</w:t>
            </w:r>
          </w:p>
          <w:p>
            <w:pPr>
              <w:pStyle w:val="6"/>
              <w:tabs>
                <w:tab w:val="left" w:pos="1737"/>
              </w:tabs>
              <w:spacing w:before="193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pozyskuje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dane</w:t>
            </w:r>
          </w:p>
          <w:p>
            <w:pPr>
              <w:pStyle w:val="6"/>
              <w:tabs>
                <w:tab w:val="left" w:pos="1430"/>
              </w:tabs>
              <w:spacing w:before="41" w:line="276" w:lineRule="auto"/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osobowe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zgodnie </w:t>
            </w:r>
            <w:r>
              <w:rPr>
                <w:sz w:val="24"/>
              </w:rPr>
              <w:t>z przepisami prawa</w:t>
            </w:r>
          </w:p>
        </w:tc>
        <w:tc>
          <w:tcPr>
            <w:tcW w:w="2328" w:type="dxa"/>
          </w:tcPr>
          <w:p>
            <w:pPr>
              <w:pStyle w:val="6"/>
              <w:spacing w:before="1" w:line="276" w:lineRule="auto"/>
              <w:ind w:left="110"/>
              <w:rPr>
                <w:rFonts w:hint="default"/>
                <w:sz w:val="24"/>
                <w:lang w:val="pl-PL"/>
              </w:rPr>
            </w:pPr>
            <w:r>
              <w:rPr>
                <w:rFonts w:hint="default"/>
                <w:sz w:val="24"/>
                <w:lang w:val="pl-PL"/>
              </w:rPr>
              <w:t xml:space="preserve">Wyboru ubezpieczyciela . Dzieli ubezpieczenia ma materialne i socjalne </w:t>
            </w:r>
          </w:p>
          <w:p>
            <w:pPr>
              <w:pStyle w:val="6"/>
              <w:tabs>
                <w:tab w:val="left" w:pos="1809"/>
              </w:tabs>
              <w:spacing w:before="20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rozpoznaje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oraz</w:t>
            </w:r>
          </w:p>
          <w:p>
            <w:pPr>
              <w:pStyle w:val="6"/>
              <w:tabs>
                <w:tab w:val="left" w:pos="1622"/>
              </w:tabs>
              <w:spacing w:before="41" w:line="276" w:lineRule="auto"/>
              <w:ind w:left="110" w:right="93"/>
              <w:rPr>
                <w:sz w:val="24"/>
              </w:rPr>
            </w:pPr>
            <w:r>
              <w:rPr>
                <w:spacing w:val="-2"/>
                <w:sz w:val="24"/>
              </w:rPr>
              <w:t>stosuje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środki językowe</w:t>
            </w:r>
          </w:p>
        </w:tc>
        <w:tc>
          <w:tcPr>
            <w:tcW w:w="2261" w:type="dxa"/>
          </w:tcPr>
          <w:p>
            <w:pPr>
              <w:pStyle w:val="6"/>
              <w:tabs>
                <w:tab w:val="left" w:pos="1637"/>
              </w:tabs>
              <w:spacing w:before="1" w:line="276" w:lineRule="auto"/>
              <w:ind w:left="0" w:leftChars="0" w:right="92" w:firstLine="0" w:firstLineChars="0"/>
              <w:jc w:val="both"/>
              <w:rPr>
                <w:sz w:val="24"/>
              </w:rPr>
            </w:pPr>
          </w:p>
        </w:tc>
        <w:tc>
          <w:tcPr>
            <w:tcW w:w="2276" w:type="dxa"/>
          </w:tcPr>
          <w:p>
            <w:pPr>
              <w:pStyle w:val="6"/>
              <w:tabs>
                <w:tab w:val="left" w:pos="2098"/>
              </w:tabs>
              <w:spacing w:before="1" w:line="276" w:lineRule="auto"/>
              <w:ind w:left="106" w:right="99"/>
              <w:rPr>
                <w:sz w:val="24"/>
              </w:rPr>
            </w:pPr>
            <w:r>
              <w:rPr>
                <w:spacing w:val="-2"/>
                <w:sz w:val="24"/>
              </w:rPr>
              <w:t>społecznego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gospodarczego</w:t>
            </w:r>
          </w:p>
          <w:p>
            <w:pPr>
              <w:pStyle w:val="6"/>
              <w:tabs>
                <w:tab w:val="left" w:pos="1623"/>
              </w:tabs>
              <w:spacing w:before="201" w:line="276" w:lineRule="auto"/>
              <w:ind w:left="475" w:right="92" w:hanging="284"/>
              <w:rPr>
                <w:sz w:val="24"/>
              </w:rPr>
            </w:pPr>
            <w:r>
              <w:rPr>
                <w:spacing w:val="-2"/>
                <w:sz w:val="24"/>
              </w:rPr>
              <w:t>planuje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drogę </w:t>
            </w:r>
            <w:r>
              <w:rPr>
                <w:spacing w:val="-2"/>
                <w:sz w:val="24"/>
              </w:rPr>
              <w:t>rozwoju zawodowego</w:t>
            </w:r>
          </w:p>
          <w:p>
            <w:pPr>
              <w:pStyle w:val="6"/>
              <w:tabs>
                <w:tab w:val="left" w:pos="1930"/>
              </w:tabs>
              <w:spacing w:before="4" w:line="276" w:lineRule="auto"/>
              <w:ind w:left="475" w:right="93" w:hanging="284"/>
              <w:rPr>
                <w:sz w:val="24"/>
              </w:rPr>
            </w:pPr>
            <w:r>
              <w:rPr>
                <w:sz w:val="24"/>
              </w:rPr>
              <w:t>wskazuje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przykłady </w:t>
            </w:r>
            <w:r>
              <w:rPr>
                <w:spacing w:val="-2"/>
                <w:sz w:val="24"/>
              </w:rPr>
              <w:t xml:space="preserve">wprowadzenia </w:t>
            </w:r>
            <w:r>
              <w:rPr>
                <w:sz w:val="24"/>
              </w:rPr>
              <w:t>zmiany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ocenia </w:t>
            </w:r>
            <w:r>
              <w:rPr>
                <w:spacing w:val="-2"/>
                <w:sz w:val="24"/>
              </w:rPr>
              <w:t>skutki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jej</w:t>
            </w:r>
          </w:p>
          <w:p>
            <w:pPr>
              <w:pStyle w:val="6"/>
              <w:spacing w:line="274" w:lineRule="exact"/>
              <w:ind w:left="475"/>
              <w:rPr>
                <w:sz w:val="24"/>
              </w:rPr>
            </w:pPr>
            <w:r>
              <w:rPr>
                <w:spacing w:val="-2"/>
                <w:sz w:val="24"/>
              </w:rPr>
              <w:t>wprowadzenia</w:t>
            </w:r>
          </w:p>
        </w:tc>
        <w:tc>
          <w:tcPr>
            <w:tcW w:w="2300" w:type="dxa"/>
          </w:tcPr>
          <w:p>
            <w:pPr>
              <w:pStyle w:val="6"/>
              <w:tabs>
                <w:tab w:val="left" w:pos="758"/>
              </w:tabs>
              <w:spacing w:before="1" w:line="276" w:lineRule="auto"/>
              <w:ind w:left="0" w:leftChars="0" w:right="93" w:firstLine="0" w:firstLineChars="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2530" w:type="dxa"/>
          </w:tcPr>
          <w:p>
            <w:pPr>
              <w:pStyle w:val="6"/>
              <w:spacing w:before="1" w:line="273" w:lineRule="auto"/>
              <w:ind w:left="110" w:right="93"/>
              <w:jc w:val="both"/>
              <w:rPr>
                <w:rFonts w:hint="default" w:ascii="Calibri" w:hAnsi="Calibri"/>
                <w:lang w:val="pl-PL"/>
              </w:rPr>
            </w:pPr>
            <w:r>
              <w:rPr>
                <w:rFonts w:hint="default" w:ascii="Calibri" w:hAnsi="Calibri"/>
                <w:lang w:val="pl-PL"/>
              </w:rPr>
              <w:t>Jest przygotowany merytorycznie do pracy z klientem w aspekcie ubezpieczeń.</w:t>
            </w:r>
            <w:bookmarkStart w:id="0" w:name="_GoBack"/>
            <w:bookmarkEnd w:id="0"/>
          </w:p>
        </w:tc>
        <w:tc>
          <w:tcPr>
            <w:tcW w:w="2300" w:type="dxa"/>
          </w:tcPr>
          <w:p>
            <w:pPr>
              <w:pStyle w:val="6"/>
              <w:tabs>
                <w:tab w:val="left" w:pos="1329"/>
                <w:tab w:val="left" w:pos="1564"/>
                <w:tab w:val="left" w:pos="2020"/>
              </w:tabs>
              <w:spacing w:before="1" w:line="276" w:lineRule="auto"/>
              <w:ind w:left="105" w:right="93"/>
              <w:rPr>
                <w:rFonts w:hint="default"/>
                <w:sz w:val="24"/>
                <w:lang w:val="pl-PL"/>
              </w:rPr>
            </w:pPr>
            <w:r>
              <w:rPr>
                <w:spacing w:val="-2"/>
                <w:sz w:val="24"/>
              </w:rPr>
              <w:t>Rozróżnia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ceny</w:t>
            </w:r>
            <w:r>
              <w:rPr>
                <w:rFonts w:hint="default"/>
                <w:spacing w:val="-4"/>
                <w:sz w:val="24"/>
                <w:lang w:val="pl-PL"/>
              </w:rPr>
              <w:t xml:space="preserve"> polis ubezpieczeniowych . Jest świadomy różnorodności cen . Wyjaśnia różnice cenowe .</w:t>
            </w:r>
          </w:p>
        </w:tc>
        <w:tc>
          <w:tcPr>
            <w:tcW w:w="2328" w:type="dxa"/>
          </w:tcPr>
          <w:p>
            <w:pPr>
              <w:pStyle w:val="6"/>
              <w:spacing w:before="1" w:line="276" w:lineRule="auto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Rozpoznaje potrzeby i wymagania klienta</w:t>
            </w:r>
          </w:p>
          <w:p>
            <w:pPr>
              <w:pStyle w:val="6"/>
              <w:spacing w:before="201" w:line="276" w:lineRule="auto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opisuje układ i strukturę formuł </w:t>
            </w:r>
            <w:r>
              <w:rPr>
                <w:spacing w:val="-2"/>
                <w:sz w:val="24"/>
              </w:rPr>
              <w:t>handlowych,</w:t>
            </w:r>
          </w:p>
          <w:p>
            <w:pPr>
              <w:pStyle w:val="6"/>
              <w:tabs>
                <w:tab w:val="left" w:pos="1608"/>
              </w:tabs>
              <w:spacing w:line="274" w:lineRule="exact"/>
              <w:ind w:left="110"/>
              <w:jc w:val="both"/>
              <w:rPr>
                <w:rFonts w:hint="default"/>
                <w:sz w:val="24"/>
                <w:lang w:val="pl-PL"/>
              </w:rPr>
            </w:pPr>
            <w:r>
              <w:rPr>
                <w:spacing w:val="-2"/>
                <w:sz w:val="24"/>
              </w:rPr>
              <w:t>Wyjaśnia</w:t>
            </w:r>
            <w:r>
              <w:rPr>
                <w:rFonts w:hint="default"/>
                <w:spacing w:val="-2"/>
                <w:sz w:val="24"/>
                <w:lang w:val="pl-PL"/>
              </w:rPr>
              <w:t xml:space="preserve"> </w:t>
            </w:r>
            <w:r>
              <w:rPr>
                <w:spacing w:val="-2"/>
                <w:sz w:val="24"/>
              </w:rPr>
              <w:t>reguły</w:t>
            </w:r>
            <w:r>
              <w:rPr>
                <w:rFonts w:hint="default"/>
                <w:spacing w:val="-2"/>
                <w:sz w:val="24"/>
                <w:lang w:val="pl-PL"/>
              </w:rPr>
              <w:t xml:space="preserve"> branży ubezpieczeniowej .</w:t>
            </w:r>
          </w:p>
        </w:tc>
        <w:tc>
          <w:tcPr>
            <w:tcW w:w="2261" w:type="dxa"/>
          </w:tcPr>
          <w:p>
            <w:pPr>
              <w:pStyle w:val="6"/>
              <w:spacing w:before="1" w:line="276" w:lineRule="auto"/>
              <w:ind w:left="110"/>
              <w:rPr>
                <w:rFonts w:hint="default"/>
                <w:sz w:val="24"/>
                <w:lang w:val="pl-PL"/>
              </w:rPr>
            </w:pPr>
            <w:r>
              <w:rPr>
                <w:rFonts w:hint="default"/>
                <w:sz w:val="24"/>
                <w:lang w:val="pl-PL"/>
              </w:rPr>
              <w:t xml:space="preserve">Zna podstawy prawa ubezpieczeniowego . Wie czym jest ustawa , rozporządzenie. Potrafi wskazać różnicę </w:t>
            </w:r>
          </w:p>
        </w:tc>
        <w:tc>
          <w:tcPr>
            <w:tcW w:w="2276" w:type="dxa"/>
          </w:tcPr>
          <w:p>
            <w:pPr>
              <w:pStyle w:val="6"/>
              <w:spacing w:before="1" w:line="276" w:lineRule="auto"/>
              <w:ind w:left="106" w:right="92"/>
              <w:rPr>
                <w:rFonts w:hint="default"/>
                <w:sz w:val="24"/>
                <w:lang w:val="pl-PL"/>
              </w:rPr>
            </w:pPr>
            <w:r>
              <w:rPr>
                <w:sz w:val="24"/>
              </w:rPr>
              <w:t>Analizuje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rFonts w:hint="default"/>
                <w:spacing w:val="-14"/>
                <w:sz w:val="24"/>
                <w:lang w:val="pl-PL"/>
              </w:rPr>
              <w:t>konkretne ustawy , rozporządzenia .Potrafi wskazać ich treść . Dopasować do  realiów .</w:t>
            </w:r>
          </w:p>
        </w:tc>
        <w:tc>
          <w:tcPr>
            <w:tcW w:w="2300" w:type="dxa"/>
          </w:tcPr>
          <w:p>
            <w:pPr>
              <w:pStyle w:val="6"/>
              <w:spacing w:before="1"/>
              <w:ind w:left="111"/>
              <w:rPr>
                <w:rFonts w:hint="default"/>
                <w:sz w:val="24"/>
                <w:lang w:val="pl-PL"/>
              </w:rPr>
            </w:pPr>
            <w:r>
              <w:rPr>
                <w:rFonts w:hint="default"/>
                <w:sz w:val="24"/>
                <w:lang w:val="pl-PL"/>
              </w:rPr>
              <w:t>Swobodnie interpretuje ustawy ,rozporządzenia prawa ubezpieczeń ,sięga do dokumentów i odpowiednio je interpretuje i wykorzystuje do tworzenia własnych analiz</w:t>
            </w:r>
          </w:p>
          <w:p>
            <w:pPr>
              <w:pStyle w:val="6"/>
              <w:spacing w:before="41"/>
              <w:ind w:left="0" w:leftChars="0" w:firstLine="0" w:firstLineChars="0"/>
              <w:rPr>
                <w:sz w:val="24"/>
              </w:rPr>
            </w:pPr>
          </w:p>
        </w:tc>
      </w:tr>
    </w:tbl>
    <w:p>
      <w:pPr>
        <w:spacing w:line="276" w:lineRule="auto"/>
        <w:rPr>
          <w:sz w:val="24"/>
        </w:rPr>
        <w:sectPr>
          <w:pgSz w:w="16840" w:h="11910" w:orient="landscape"/>
          <w:pgMar w:top="1340" w:right="1300" w:bottom="280" w:left="1300" w:header="720" w:footer="720" w:gutter="0"/>
          <w:cols w:space="720" w:num="1"/>
        </w:sectPr>
      </w:pPr>
    </w:p>
    <w:p>
      <w:pPr>
        <w:pStyle w:val="4"/>
        <w:rPr>
          <w:sz w:val="6"/>
        </w:rPr>
      </w:pPr>
    </w:p>
    <w:p/>
    <w:sectPr>
      <w:pgSz w:w="16840" w:h="11910" w:orient="landscape"/>
      <w:pgMar w:top="1340" w:right="1300" w:bottom="280" w:left="13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708"/>
  <w:hyphenationZone w:val="425"/>
  <w:drawingGridVerticalSpacing w:val="156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FB324A"/>
    <w:rsid w:val="0028213D"/>
    <w:rsid w:val="00835DF9"/>
    <w:rsid w:val="02227E6E"/>
    <w:rsid w:val="0F0E3E92"/>
    <w:rsid w:val="248A0B28"/>
    <w:rsid w:val="2FFB324A"/>
    <w:rsid w:val="361007D6"/>
    <w:rsid w:val="3F404846"/>
    <w:rsid w:val="50AD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spacing w:before="3"/>
    </w:pPr>
    <w:rPr>
      <w:rFonts w:ascii="Arial" w:hAnsi="Arial" w:eastAsia="Arial" w:cs="Arial"/>
      <w:b/>
      <w:bCs/>
      <w:sz w:val="20"/>
      <w:szCs w:val="20"/>
    </w:rPr>
  </w:style>
  <w:style w:type="paragraph" w:styleId="5">
    <w:name w:val="Normal (Web)"/>
    <w:qFormat/>
    <w:uiPriority w:val="0"/>
    <w:pPr>
      <w:spacing w:beforeAutospacing="1" w:afterAutospacing="1"/>
    </w:pPr>
    <w:rPr>
      <w:rFonts w:ascii="Times New Roman" w:hAnsi="Times New Roman" w:eastAsia="SimSun" w:cs="Times New Roman"/>
      <w:sz w:val="24"/>
      <w:szCs w:val="24"/>
      <w:lang w:val="en-US" w:eastAsia="zh-CN" w:bidi="ar-SA"/>
    </w:rPr>
  </w:style>
  <w:style w:type="paragraph" w:customStyle="1" w:styleId="6">
    <w:name w:val="Table Paragraph"/>
    <w:basedOn w:val="1"/>
    <w:qFormat/>
    <w:uiPriority w:val="1"/>
    <w:pPr>
      <w:ind w:left="109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652</Words>
  <Characters>3915</Characters>
  <Lines>32</Lines>
  <Paragraphs>9</Paragraphs>
  <TotalTime>22</TotalTime>
  <ScaleCrop>false</ScaleCrop>
  <LinksUpToDate>false</LinksUpToDate>
  <CharactersWithSpaces>4558</CharactersWithSpaces>
  <Application>WPS Office_11.2.0.11130_F1E327BC-269C-435d-A152-05C5408002CA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2025-02-20T06:45:00Z</dcterms:created>
  <dc:creator>Marcin Zaręba</dc:creator>
  <cp:lastModifiedBy>Marcin Zaręba</cp:lastModifiedBy>
  <dcterms:modified xsi:type="dcterms:W3CDTF">2025-03-04T09:21:39Z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1045-11.2.0.11130</vt:lpwstr>
  </property>
  <property fmtid="{D5CDD505-2E9C-101B-9397-08002B2CF9AE}" pid="3" name="ICV">
    <vt:lpwstr>04BA18210F0A4F9897D29C04AEF17AD6</vt:lpwstr>
  </property>
</Properties>
</file>