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 w:before="120" w:after="120"/>
        <w:jc w:val="both"/>
        <w:rPr>
          <w:rFonts w:cs="Times New Roman"/>
          <w:i/>
          <w:i/>
        </w:rPr>
      </w:pPr>
      <w:r>
        <w:rPr>
          <w:rFonts w:cs="Times New Roman"/>
          <w:b/>
        </w:rPr>
        <w:t xml:space="preserve">Wymagania edukacyjne z przedmiotu </w:t>
      </w:r>
      <w:r>
        <w:rPr>
          <w:rFonts w:cs="Times New Roman"/>
        </w:rPr>
        <w:t xml:space="preserve"> </w:t>
      </w:r>
      <w:r>
        <w:rPr>
          <w:rFonts w:cs="Times New Roman"/>
          <w:i/>
        </w:rPr>
        <w:t xml:space="preserve">JĘZYK NIEMIECKI ZAWODOWY </w:t>
      </w:r>
      <w:r>
        <w:rPr>
          <w:rFonts w:cs="Times New Roman"/>
          <w:b/>
        </w:rPr>
        <w:t>w zawodzie</w:t>
      </w:r>
      <w:r>
        <w:rPr>
          <w:rFonts w:cs="Times New Roman"/>
          <w:i/>
        </w:rPr>
        <w:t xml:space="preserve"> FRYZJER</w:t>
      </w:r>
    </w:p>
    <w:p>
      <w:pPr>
        <w:pStyle w:val="Normal"/>
        <w:spacing w:lineRule="auto" w:line="276" w:before="120" w:after="120"/>
        <w:jc w:val="both"/>
        <w:rPr>
          <w:rFonts w:cs="Times New Roman"/>
        </w:rPr>
      </w:pPr>
      <w:r>
        <w:rPr>
          <w:rFonts w:cs="Times New Roman"/>
        </w:rPr>
        <w:t xml:space="preserve">Zespół Szkół Ponadpodstawowych w Zgorzelcu </w:t>
      </w:r>
    </w:p>
    <w:p>
      <w:pPr>
        <w:pStyle w:val="Normal"/>
        <w:spacing w:lineRule="auto" w:line="276" w:before="120" w:after="12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spacing w:lineRule="auto" w:line="276" w:before="120" w:after="120"/>
        <w:jc w:val="both"/>
        <w:rPr>
          <w:rFonts w:cs="Times New Roman"/>
          <w:b/>
          <w:b/>
        </w:rPr>
      </w:pPr>
      <w:r>
        <w:rPr>
          <w:rFonts w:cs="Times New Roman"/>
          <w:b/>
        </w:rPr>
        <w:t>Wymagania edukacyjne podlegające ocenie:</w:t>
      </w:r>
    </w:p>
    <w:p>
      <w:pPr>
        <w:pStyle w:val="Normal"/>
        <w:spacing w:lineRule="auto" w:line="276" w:before="120" w:after="120"/>
        <w:jc w:val="both"/>
        <w:rPr>
          <w:rFonts w:cs="Times New Roman"/>
          <w:b/>
          <w:b/>
        </w:rPr>
      </w:pPr>
      <w:r>
        <w:rPr>
          <w:rFonts w:cs="Times New Roman"/>
          <w:b/>
        </w:rPr>
      </w:r>
    </w:p>
    <w:p>
      <w:pPr>
        <w:pStyle w:val="Tretekstu"/>
        <w:numPr>
          <w:ilvl w:val="0"/>
          <w:numId w:val="1"/>
        </w:numPr>
        <w:spacing w:before="120" w:after="120"/>
        <w:ind w:left="357" w:hanging="357"/>
        <w:rPr>
          <w:rFonts w:cs="Times New Roman"/>
          <w:b/>
          <w:b/>
        </w:rPr>
      </w:pPr>
      <w:r>
        <w:rPr>
          <w:rFonts w:cs="Times New Roman"/>
          <w:b/>
        </w:rPr>
        <w:t>Środki leksykalne:</w:t>
      </w:r>
    </w:p>
    <w:tbl>
      <w:tblPr>
        <w:tblW w:w="1385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077"/>
        <w:gridCol w:w="9780"/>
      </w:tblGrid>
      <w:tr>
        <w:trPr>
          <w:trHeight w:val="1715" w:hRule="atLeast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PoloZE22R-Leicht" w:cs="Times New Roman"/>
              </w:rPr>
            </w:pPr>
            <w:r>
              <w:rPr>
                <w:rFonts w:eastAsia="PoloZE22R-Leicht" w:cs="Times New Roman"/>
              </w:rPr>
              <w:t>1. Zawód fryzjer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PoloZE22R-Leicht" w:cs="Times New Roman"/>
              </w:rPr>
            </w:pPr>
            <w:r>
              <w:rPr>
                <w:rFonts w:eastAsia="PoloZE22R-Leicht" w:cs="Times New Roman"/>
              </w:rPr>
              <w:t>- słownictwo umożliwiające opis zawodu fryzjera: cech, jakie powinien posiadać fryzjer oraz nazwy miejsc, gdzie może pracować fryzjer</w:t>
            </w:r>
          </w:p>
          <w:p>
            <w:pPr>
              <w:pStyle w:val="Normal"/>
              <w:widowControl w:val="false"/>
              <w:rPr>
                <w:rFonts w:eastAsia="PoloZE22R-Leicht" w:cs="Times New Roman"/>
              </w:rPr>
            </w:pPr>
            <w:r>
              <w:rPr>
                <w:rFonts w:eastAsia="PoloZE22R-Leicht" w:cs="Times New Roman"/>
              </w:rPr>
              <w:t>- czasowniki dotyczące typowych czynności wykonywanych przez fryzjera w salonie fryzjerskim</w:t>
            </w:r>
          </w:p>
          <w:p>
            <w:pPr>
              <w:pStyle w:val="Normal"/>
              <w:widowControl w:val="false"/>
              <w:rPr>
                <w:rFonts w:eastAsia="PoloZE22R-Leicht" w:cs="Times New Roman"/>
              </w:rPr>
            </w:pPr>
            <w:r>
              <w:rPr>
                <w:rFonts w:eastAsia="PoloZE22R-Leicht" w:cs="Times New Roman"/>
              </w:rPr>
              <w:t>- zwroty umożliwiające informowanie o posiadanych już umiejętnościach fryzjerskich</w:t>
            </w:r>
          </w:p>
          <w:p>
            <w:pPr>
              <w:pStyle w:val="Normal"/>
              <w:widowControl w:val="false"/>
              <w:rPr>
                <w:rFonts w:eastAsia="PoloZE22R-Leicht" w:cs="Times New Roman"/>
              </w:rPr>
            </w:pPr>
            <w:r>
              <w:rPr>
                <w:rFonts w:eastAsia="PoloZE22R-Leicht" w:cs="Times New Roman"/>
              </w:rPr>
              <w:t>- zwroty umożliwiające relacjonowanie- opis wykonanych już czynności fryzjerskich</w:t>
            </w:r>
          </w:p>
        </w:tc>
      </w:tr>
      <w:tr>
        <w:trPr>
          <w:trHeight w:val="2217" w:hRule="atLeast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PoloZE22R-Leicht" w:cs="Times New Roman"/>
              </w:rPr>
            </w:pPr>
            <w:r>
              <w:rPr>
                <w:rFonts w:eastAsia="PoloZE22R-Leicht" w:cs="Times New Roman"/>
              </w:rPr>
              <w:t>2. Prowadzenie salonu fryzjerskiego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PoloZE22R-Leicht" w:cs="Times New Roman"/>
              </w:rPr>
            </w:pPr>
            <w:r>
              <w:rPr>
                <w:rFonts w:eastAsia="PoloZE22R-Leicht" w:cs="Times New Roman"/>
              </w:rPr>
              <w:t>- nazwy przedmiotów stanowiących wyposażenie typowego salonu fryzjerskiego</w:t>
            </w:r>
          </w:p>
          <w:p>
            <w:pPr>
              <w:pStyle w:val="Normal"/>
              <w:widowControl w:val="false"/>
              <w:rPr>
                <w:rFonts w:eastAsia="PoloZE22R-Leicht" w:cs="Times New Roman"/>
              </w:rPr>
            </w:pPr>
            <w:r>
              <w:rPr>
                <w:rFonts w:eastAsia="PoloZE22R-Leicht" w:cs="Times New Roman"/>
              </w:rPr>
              <w:t>- słownictwo umożliwiające opis wyglądu salonu fryzjerskiego (położenie elementów wyposażenia, kolorystyka)</w:t>
            </w:r>
          </w:p>
          <w:p>
            <w:pPr>
              <w:pStyle w:val="Normal"/>
              <w:widowControl w:val="false"/>
              <w:rPr>
                <w:rFonts w:eastAsia="PoloZE22R-Leicht" w:cs="Times New Roman"/>
              </w:rPr>
            </w:pPr>
            <w:r>
              <w:rPr>
                <w:rFonts w:eastAsia="PoloZE22R-Leicht" w:cs="Times New Roman"/>
              </w:rPr>
              <w:t>- nazwy urządzeń/aparatów wykorzystywanych w salonie oraz narzędzi i akcesoriów fryzjerskich</w:t>
            </w:r>
          </w:p>
          <w:p>
            <w:pPr>
              <w:pStyle w:val="Normal"/>
              <w:widowControl w:val="false"/>
              <w:rPr>
                <w:rFonts w:eastAsia="PoloZE22R-Leicht" w:cs="Times New Roman"/>
              </w:rPr>
            </w:pPr>
            <w:r>
              <w:rPr>
                <w:rFonts w:eastAsia="PoloZE22R-Leicht" w:cs="Times New Roman"/>
              </w:rPr>
              <w:t>- zwroty umożliwiające opis wykonywanych czynności fryzjerskich przy użyciu różnych akcesoriów i narzędzi</w:t>
            </w:r>
          </w:p>
          <w:p>
            <w:pPr>
              <w:pStyle w:val="Normal"/>
              <w:widowControl w:val="false"/>
              <w:rPr>
                <w:rFonts w:eastAsia="PoloZE22R-Leicht" w:cs="Times New Roman"/>
              </w:rPr>
            </w:pPr>
            <w:r>
              <w:rPr>
                <w:rFonts w:eastAsia="PoloZE22R-Leicht" w:cs="Times New Roman"/>
              </w:rPr>
              <w:t>- słownictwo umożliwiające opis obsługi urządzeń wykorzystywanych w pracy fryzjera</w:t>
            </w:r>
          </w:p>
        </w:tc>
      </w:tr>
      <w:tr>
        <w:trPr>
          <w:trHeight w:val="1953" w:hRule="atLeast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PoloZE22R-Leicht" w:cs="Times New Roman"/>
              </w:rPr>
            </w:pPr>
            <w:r>
              <w:rPr>
                <w:rFonts w:eastAsia="PoloZE22R-Leicht" w:cs="Times New Roman"/>
              </w:rPr>
              <w:t>3. Usługi fryzjerskie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PoloZE22R-Leicht" w:cs="Times New Roman"/>
              </w:rPr>
            </w:pPr>
            <w:r>
              <w:rPr>
                <w:rFonts w:eastAsia="PoloZE22R-Leicht" w:cs="Times New Roman"/>
              </w:rPr>
              <w:t>- nazwy środków do farbowania, stylizacji oraz pielęgnacji włosów</w:t>
            </w:r>
          </w:p>
          <w:p>
            <w:pPr>
              <w:pStyle w:val="Normal"/>
              <w:widowControl w:val="false"/>
              <w:rPr>
                <w:rFonts w:eastAsia="PoloZE22R-Leicht" w:cs="Times New Roman"/>
              </w:rPr>
            </w:pPr>
            <w:r>
              <w:rPr>
                <w:rFonts w:eastAsia="PoloZE22R-Leicht" w:cs="Times New Roman"/>
              </w:rPr>
              <w:t>- słownictwo umożliwiające rozumienie instrukcji/sposobu użycia różnych środków stosowanych przez fryzjera</w:t>
            </w:r>
          </w:p>
          <w:p>
            <w:pPr>
              <w:pStyle w:val="Normal"/>
              <w:widowControl w:val="false"/>
              <w:rPr>
                <w:rFonts w:eastAsia="PoloZE22R-Leicht" w:cs="Times New Roman"/>
              </w:rPr>
            </w:pPr>
            <w:r>
              <w:rPr>
                <w:rFonts w:eastAsia="PoloZE22R-Leicht" w:cs="Times New Roman"/>
              </w:rPr>
              <w:t>- zwroty umożliwiające opis różnych typów włosów oraz oceny stanu włosów klienta/klientki</w:t>
            </w:r>
          </w:p>
          <w:p>
            <w:pPr>
              <w:pStyle w:val="Normal"/>
              <w:widowControl w:val="false"/>
              <w:rPr>
                <w:rFonts w:eastAsia="PoloZE22R-Leicht" w:cs="Times New Roman"/>
              </w:rPr>
            </w:pPr>
            <w:r>
              <w:rPr>
                <w:rFonts w:eastAsia="PoloZE22R-Leicht" w:cs="Times New Roman"/>
              </w:rPr>
              <w:t>- zwroty umożliwiające poinformowanie klienta o świadczonych w salonie usługach oraz o ich cenach, o czasie pracy salonu</w:t>
            </w:r>
          </w:p>
        </w:tc>
      </w:tr>
      <w:tr>
        <w:trPr>
          <w:trHeight w:val="1418" w:hRule="atLeast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PoloZE22R-Leicht" w:cs="Times New Roman"/>
              </w:rPr>
            </w:pPr>
            <w:r>
              <w:rPr>
                <w:rFonts w:eastAsia="PoloZE22R-Leicht" w:cs="Times New Roman"/>
              </w:rPr>
              <w:t>4. Rozmowy z klientami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PoloZE22R-Leicht" w:cs="Times New Roman"/>
              </w:rPr>
            </w:pPr>
            <w:r>
              <w:rPr>
                <w:rFonts w:eastAsia="PoloZE22R-Leicht" w:cs="Times New Roman"/>
              </w:rPr>
              <w:t>- zwroty umożliwiające rozpoczynanie, prowadzenie i kończenie rozmów z klientami w salonie</w:t>
            </w:r>
          </w:p>
          <w:p>
            <w:pPr>
              <w:pStyle w:val="Normal"/>
              <w:widowControl w:val="false"/>
              <w:rPr>
                <w:rFonts w:eastAsia="PoloZE22R-Leicht" w:cs="Times New Roman"/>
              </w:rPr>
            </w:pPr>
            <w:r>
              <w:rPr>
                <w:rFonts w:eastAsia="PoloZE22R-Leicht" w:cs="Times New Roman"/>
              </w:rPr>
              <w:t>- zwroty umożliwiające umówienie klienta na wizytę w salonie</w:t>
            </w:r>
          </w:p>
          <w:p>
            <w:pPr>
              <w:pStyle w:val="Normal"/>
              <w:widowControl w:val="false"/>
              <w:rPr>
                <w:rFonts w:eastAsia="PoloZE22R-Leicht" w:cs="Times New Roman"/>
              </w:rPr>
            </w:pPr>
            <w:r>
              <w:rPr>
                <w:rFonts w:eastAsia="PoloZE22R-Leicht" w:cs="Times New Roman"/>
              </w:rPr>
              <w:t>- słownictwo umożliwiające doradzenie klientowi w kwestii fryzury, pielęgnacji i stylizacji włosów</w:t>
            </w:r>
          </w:p>
          <w:p>
            <w:pPr>
              <w:pStyle w:val="Normal"/>
              <w:widowControl w:val="false"/>
              <w:rPr>
                <w:rFonts w:eastAsia="PoloZE22R-Leicht" w:cs="Times New Roman"/>
              </w:rPr>
            </w:pPr>
            <w:r>
              <w:rPr>
                <w:rFonts w:eastAsia="PoloZE22R-Leicht" w:cs="Times New Roman"/>
              </w:rPr>
              <w:t>- zwroty opisujące wykonywane usługi fryzjerskie</w:t>
            </w:r>
          </w:p>
        </w:tc>
      </w:tr>
      <w:tr>
        <w:trPr>
          <w:trHeight w:val="2387" w:hRule="atLeast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PoloZE22R-Leicht" w:cs="Times New Roman"/>
              </w:rPr>
            </w:pPr>
            <w:r>
              <w:rPr>
                <w:rFonts w:eastAsia="PoloZE22R-Leicht" w:cs="Times New Roman"/>
              </w:rPr>
              <w:t>5.  Rynek pracy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PoloZE22R-Leicht" w:cs="Times New Roman"/>
              </w:rPr>
            </w:pPr>
            <w:r>
              <w:rPr>
                <w:rFonts w:eastAsia="PoloZE22R-Leicht" w:cs="Times New Roman"/>
              </w:rPr>
              <w:t>- zwroty zawarte w ogłoszeniach o pracę: zakres obowiązków pracownika, wymagania pracodawcy względem przyszłego pracownika, co oferuje pracodawca w zamian</w:t>
            </w:r>
          </w:p>
          <w:p>
            <w:pPr>
              <w:pStyle w:val="Normal"/>
              <w:widowControl w:val="false"/>
              <w:rPr>
                <w:rFonts w:eastAsia="PoloZE22R-Leicht" w:cs="Times New Roman"/>
              </w:rPr>
            </w:pPr>
            <w:r>
              <w:rPr>
                <w:rFonts w:eastAsia="PoloZE22R-Leicht" w:cs="Times New Roman"/>
              </w:rPr>
              <w:t>- zwroty umożliwiające zredagowanie życiorysu oraz listu motywacyjnego</w:t>
            </w:r>
          </w:p>
          <w:p>
            <w:pPr>
              <w:pStyle w:val="Normal"/>
              <w:widowControl w:val="false"/>
              <w:rPr>
                <w:rFonts w:eastAsia="PoloZE22R-Leicht" w:cs="Times New Roman"/>
              </w:rPr>
            </w:pPr>
            <w:r>
              <w:rPr>
                <w:rFonts w:eastAsia="PoloZE22R-Leicht" w:cs="Times New Roman"/>
              </w:rPr>
              <w:t>- przedstawianie się, opowiadanie o wyobrażeniach dotyczących przyszłej pracy</w:t>
            </w:r>
          </w:p>
          <w:p>
            <w:pPr>
              <w:pStyle w:val="Normal"/>
              <w:widowControl w:val="false"/>
              <w:rPr>
                <w:rFonts w:eastAsia="PoloZE22R-Leicht" w:cs="Times New Roman"/>
              </w:rPr>
            </w:pPr>
            <w:r>
              <w:rPr>
                <w:rFonts w:eastAsia="PoloZE22R-Leicht" w:cs="Times New Roman"/>
              </w:rPr>
              <w:t>- zwroty umożliwiające reakcję na pytania przyszłego pracodawcy w zakresie wykształcenia, doświadczenia zawodowego, wynagrodzenia, słabych i mocnych</w:t>
            </w:r>
          </w:p>
          <w:p>
            <w:pPr>
              <w:pStyle w:val="Normal"/>
              <w:widowControl w:val="false"/>
              <w:rPr>
                <w:rFonts w:eastAsia="PoloZE22R-Leicht" w:cs="Times New Roman"/>
              </w:rPr>
            </w:pPr>
            <w:r>
              <w:rPr>
                <w:rFonts w:eastAsia="PoloZE22R-Leicht" w:cs="Times New Roman"/>
              </w:rPr>
              <w:t>stron, zainteresowań</w:t>
            </w:r>
          </w:p>
        </w:tc>
      </w:tr>
      <w:tr>
        <w:trPr>
          <w:trHeight w:val="978" w:hRule="atLeast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PoloZE22R-Leicht" w:cs="Times New Roman"/>
              </w:rPr>
            </w:pPr>
            <w:r>
              <w:rPr>
                <w:rFonts w:eastAsia="PoloZE22R-Leicht" w:cs="Times New Roman"/>
              </w:rPr>
              <w:t>6. Bezpieczeństwo w miejscu pracy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PoloZE22R-Leicht" w:cs="Times New Roman"/>
              </w:rPr>
            </w:pPr>
            <w:r>
              <w:rPr>
                <w:rFonts w:eastAsia="PoloZE22R-Leicht" w:cs="Times New Roman"/>
              </w:rPr>
              <w:t>- zwroty charakteryzujące główne zagrożenia w miejscu pracy</w:t>
            </w:r>
          </w:p>
          <w:p>
            <w:pPr>
              <w:pStyle w:val="Normal"/>
              <w:widowControl w:val="false"/>
              <w:rPr>
                <w:rFonts w:eastAsia="PoloZE22R-Leicht" w:cs="Times New Roman"/>
              </w:rPr>
            </w:pPr>
            <w:r>
              <w:rPr>
                <w:rFonts w:eastAsia="PoloZE22R-Leicht" w:cs="Times New Roman"/>
              </w:rPr>
              <w:t xml:space="preserve">- zwroty opisujące postępowanie w razie wystąpienia wypadku w salonie </w:t>
            </w:r>
          </w:p>
        </w:tc>
      </w:tr>
    </w:tbl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b/>
          <w:b/>
        </w:rPr>
      </w:pPr>
      <w:r>
        <w:rPr>
          <w:b/>
        </w:rPr>
        <w:t>2) Środki gramatyczne:</w:t>
      </w:r>
    </w:p>
    <w:p>
      <w:pPr>
        <w:pStyle w:val="Normal"/>
        <w:rPr>
          <w:rFonts w:eastAsia="PoloZE22R-Leicht" w:cs="Times New Roman"/>
        </w:rPr>
      </w:pPr>
      <w:r>
        <w:rPr>
          <w:rFonts w:eastAsia="PoloZE22R-Leicht" w:cs="Times New Roman"/>
        </w:rPr>
        <w:t>- czasowniki w czasie teraźniejszym i przeszłym Perfekt</w:t>
      </w:r>
    </w:p>
    <w:p>
      <w:pPr>
        <w:pStyle w:val="Normal"/>
        <w:rPr>
          <w:rFonts w:eastAsia="PoloZE22R-Leicht" w:cs="Times New Roman"/>
        </w:rPr>
      </w:pPr>
      <w:r>
        <w:rPr>
          <w:rFonts w:eastAsia="PoloZE22R-Leicht" w:cs="Times New Roman"/>
        </w:rPr>
        <w:t>- czasowniki modalne</w:t>
      </w:r>
    </w:p>
    <w:p>
      <w:pPr>
        <w:pStyle w:val="Normal"/>
        <w:rPr>
          <w:rFonts w:eastAsia="PoloZE22R-Leicht" w:cs="Times New Roman"/>
        </w:rPr>
      </w:pPr>
      <w:r>
        <w:rPr>
          <w:rFonts w:eastAsia="PoloZE22R-Leicht" w:cs="Times New Roman"/>
        </w:rPr>
        <w:t>- przyimki określające położenie przedmiotów</w:t>
      </w:r>
    </w:p>
    <w:p>
      <w:pPr>
        <w:pStyle w:val="Normal"/>
        <w:rPr>
          <w:rFonts w:eastAsia="PoloZE22R-Leicht" w:cs="Times New Roman"/>
        </w:rPr>
      </w:pPr>
      <w:r>
        <w:rPr>
          <w:rFonts w:eastAsia="PoloZE22R-Leicht" w:cs="Times New Roman"/>
        </w:rPr>
        <w:t>- przyimek „mit” jako element leksykalny umożliwiający poinformowanie o tym, jakim narzędziem wykonywana jest dana czynność w salonie</w:t>
      </w:r>
    </w:p>
    <w:p>
      <w:pPr>
        <w:pStyle w:val="Normal"/>
        <w:rPr>
          <w:rFonts w:eastAsia="PoloZE22R-Leicht" w:cs="Times New Roman"/>
        </w:rPr>
      </w:pPr>
      <w:r>
        <w:rPr>
          <w:rFonts w:eastAsia="PoloZE22R-Leicht" w:cs="Times New Roman"/>
        </w:rPr>
        <w:t>- konstrukcja „um..zu..” w kontekście podawania celu użycia określonego urządzenia/narzędzia</w:t>
      </w:r>
    </w:p>
    <w:p>
      <w:pPr>
        <w:pStyle w:val="Normal"/>
        <w:rPr>
          <w:rFonts w:eastAsia="PoloZE22R-Leicht" w:cs="Times New Roman"/>
        </w:rPr>
      </w:pPr>
      <w:r>
        <w:rPr>
          <w:rFonts w:eastAsia="PoloZE22R-Leicht" w:cs="Times New Roman"/>
        </w:rPr>
        <w:t>- tryb rozkazujący</w:t>
      </w:r>
    </w:p>
    <w:p>
      <w:pPr>
        <w:pStyle w:val="Normal"/>
        <w:rPr>
          <w:rFonts w:eastAsia="PoloZE22R-Leicht" w:cs="Times New Roman"/>
        </w:rPr>
      </w:pPr>
      <w:r>
        <w:rPr>
          <w:rFonts w:eastAsia="PoloZE22R-Leicht" w:cs="Times New Roman"/>
        </w:rPr>
        <w:t>- liczebniki główne w formie ceny usługi, godziny</w:t>
      </w:r>
    </w:p>
    <w:p>
      <w:pPr>
        <w:pStyle w:val="Normal"/>
        <w:rPr>
          <w:rFonts w:eastAsia="PoloZE22R-Leicht" w:cs="Times New Roman"/>
        </w:rPr>
      </w:pPr>
      <w:r>
        <w:rPr>
          <w:rFonts w:eastAsia="PoloZE22R-Leicht" w:cs="Times New Roman"/>
        </w:rPr>
        <w:t>- liczebniki porządkowe w formie daty</w:t>
      </w:r>
    </w:p>
    <w:p>
      <w:pPr>
        <w:pStyle w:val="Normal"/>
        <w:rPr>
          <w:rFonts w:eastAsia="PoloZE22R-Leicht" w:cs="Times New Roman"/>
        </w:rPr>
      </w:pPr>
      <w:r>
        <w:rPr>
          <w:rFonts w:eastAsia="PoloZE22R-Leicht" w:cs="Times New Roman"/>
        </w:rPr>
        <w:t>- okoliczniki czasu</w:t>
      </w:r>
    </w:p>
    <w:p>
      <w:pPr>
        <w:pStyle w:val="Normal"/>
        <w:rPr>
          <w:rFonts w:eastAsia="PoloZE22R-Leicht" w:cs="Times New Roman"/>
        </w:rPr>
      </w:pPr>
      <w:r>
        <w:rPr>
          <w:rFonts w:eastAsia="PoloZE22R-Leicht" w:cs="Times New Roman"/>
        </w:rPr>
        <w:t>- forma grzecznościowa</w:t>
      </w:r>
    </w:p>
    <w:p>
      <w:pPr>
        <w:pStyle w:val="Normal"/>
        <w:rPr/>
      </w:pPr>
      <w:r>
        <w:rPr/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  <w:t>OGÓLNE EFEKTY KSZTAŁCENIA W NAUCZANIU JĘZYKA NIEMIECKIEGO ZAWODOWEGO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 xml:space="preserve">Uczeń: </w:t>
      </w:r>
    </w:p>
    <w:p>
      <w:pPr>
        <w:pStyle w:val="ListParagraph"/>
        <w:numPr>
          <w:ilvl w:val="1"/>
          <w:numId w:val="1"/>
        </w:numPr>
        <w:rPr/>
      </w:pPr>
      <w:r>
        <w:rPr/>
        <w:t xml:space="preserve">posługuje się zasobem środków językowych (leksykalnych, gramatycznych, ortograficznych oraz fonetycznych), umożliwiających realizację zadań zawodowych; </w:t>
      </w:r>
    </w:p>
    <w:p>
      <w:pPr>
        <w:pStyle w:val="ListParagraph"/>
        <w:numPr>
          <w:ilvl w:val="1"/>
          <w:numId w:val="1"/>
        </w:numPr>
        <w:rPr/>
      </w:pPr>
      <w:r>
        <w:rPr/>
        <w:t>interpretuje wypowiedzi dotyczące wykonania typowych czynności zawodowych artykułowane powoli i wyraźnie, w standardowej odmianie języka;</w:t>
      </w:r>
    </w:p>
    <w:p>
      <w:pPr>
        <w:pStyle w:val="ListParagraph"/>
        <w:numPr>
          <w:ilvl w:val="1"/>
          <w:numId w:val="1"/>
        </w:numPr>
        <w:rPr/>
      </w:pPr>
      <w:r>
        <w:rPr/>
        <w:t xml:space="preserve">analizuje i interpretuje krótkie teksty pisemne dotyczące wykonywania typowych czynności zawodowych; </w:t>
      </w:r>
    </w:p>
    <w:p>
      <w:pPr>
        <w:pStyle w:val="ListParagraph"/>
        <w:numPr>
          <w:ilvl w:val="1"/>
          <w:numId w:val="1"/>
        </w:numPr>
        <w:rPr/>
      </w:pPr>
      <w:r>
        <w:rPr/>
        <w:t xml:space="preserve">formułuje krótkie i zwięzłe wypowiedzi oraz teksty pisemne umożliwiające komunikowanie się w środowisku pracy; </w:t>
      </w:r>
    </w:p>
    <w:p>
      <w:pPr>
        <w:pStyle w:val="ListParagraph"/>
        <w:numPr>
          <w:ilvl w:val="1"/>
          <w:numId w:val="1"/>
        </w:numPr>
        <w:rPr/>
      </w:pPr>
      <w:r>
        <w:rPr/>
        <w:t xml:space="preserve">korzysta z obcojęzycznych źródeł informacji; </w:t>
      </w:r>
    </w:p>
    <w:p>
      <w:pPr>
        <w:pStyle w:val="ListParagraph"/>
        <w:numPr>
          <w:ilvl w:val="1"/>
          <w:numId w:val="1"/>
        </w:numPr>
        <w:rPr/>
      </w:pPr>
      <w:r>
        <w:rPr/>
        <w:t xml:space="preserve">nazywa najważniejsze informacje z wysłuchanego tekstu dotyczącego miejsca pracy i wykonywanych czynności zawodowych; </w:t>
      </w:r>
    </w:p>
    <w:p>
      <w:pPr>
        <w:pStyle w:val="ListParagraph"/>
        <w:numPr>
          <w:ilvl w:val="1"/>
          <w:numId w:val="1"/>
        </w:numPr>
        <w:rPr/>
      </w:pPr>
      <w:r>
        <w:rPr/>
        <w:t xml:space="preserve">rozumie prosty tekst dotyczący opisu miejsca pracy i wykonywanych czynności zawodowych; </w:t>
      </w:r>
    </w:p>
    <w:p>
      <w:pPr>
        <w:pStyle w:val="ListParagraph"/>
        <w:numPr>
          <w:ilvl w:val="1"/>
          <w:numId w:val="1"/>
        </w:numPr>
        <w:rPr/>
      </w:pPr>
      <w:r>
        <w:rPr/>
        <w:t xml:space="preserve">rozumie wypowiedzi, w których występuje proste specjalistyczne słownictwo w kontekście zawodu fryzjera; </w:t>
      </w:r>
    </w:p>
    <w:p>
      <w:pPr>
        <w:pStyle w:val="ListParagraph"/>
        <w:numPr>
          <w:ilvl w:val="1"/>
          <w:numId w:val="1"/>
        </w:numPr>
        <w:rPr/>
      </w:pPr>
      <w:r>
        <w:rPr/>
        <w:t xml:space="preserve">rozumie istotne informacje dotyczące obowiązków i oczekiwań pracodawcy; </w:t>
      </w:r>
    </w:p>
    <w:p>
      <w:pPr>
        <w:pStyle w:val="ListParagraph"/>
        <w:numPr>
          <w:ilvl w:val="1"/>
          <w:numId w:val="1"/>
        </w:numPr>
        <w:rPr/>
      </w:pPr>
      <w:r>
        <w:rPr/>
        <w:t xml:space="preserve">rozumie globalnie informacje zasłyszane w obcojęzycznych mediach; </w:t>
      </w:r>
    </w:p>
    <w:p>
      <w:pPr>
        <w:pStyle w:val="ListParagraph"/>
        <w:numPr>
          <w:ilvl w:val="1"/>
          <w:numId w:val="1"/>
        </w:numPr>
        <w:rPr/>
      </w:pPr>
      <w:r>
        <w:rPr/>
        <w:t xml:space="preserve">podaje najważniejsze informacje w przeczytanej instrukcji obsługi urządzenia; </w:t>
      </w:r>
    </w:p>
    <w:p>
      <w:pPr>
        <w:pStyle w:val="ListParagraph"/>
        <w:numPr>
          <w:ilvl w:val="1"/>
          <w:numId w:val="1"/>
        </w:numPr>
        <w:rPr/>
      </w:pPr>
      <w:r>
        <w:rPr/>
        <w:t xml:space="preserve">rozumie najważniejsze informacje umieszczone na opakowaniach środków do zabiegów fryzjerskich; </w:t>
      </w:r>
    </w:p>
    <w:p>
      <w:pPr>
        <w:pStyle w:val="ListParagraph"/>
        <w:numPr>
          <w:ilvl w:val="1"/>
          <w:numId w:val="1"/>
        </w:numPr>
        <w:rPr/>
      </w:pPr>
      <w:r>
        <w:rPr/>
        <w:t xml:space="preserve">rozumie proste teksty związane z wykonywaniem zawodu z literatury fachowej lub ze stron internetowych; </w:t>
      </w:r>
    </w:p>
    <w:p>
      <w:pPr>
        <w:pStyle w:val="ListParagraph"/>
        <w:numPr>
          <w:ilvl w:val="1"/>
          <w:numId w:val="1"/>
        </w:numPr>
        <w:rPr/>
      </w:pPr>
      <w:r>
        <w:rPr/>
        <w:t xml:space="preserve">czyta ze zrozumieniem polecenia pisemne dotyczące wykonywania czynności zawodowych; </w:t>
      </w:r>
    </w:p>
    <w:p>
      <w:pPr>
        <w:pStyle w:val="ListParagraph"/>
        <w:numPr>
          <w:ilvl w:val="1"/>
          <w:numId w:val="1"/>
        </w:numPr>
        <w:rPr/>
      </w:pPr>
      <w:r>
        <w:rPr/>
        <w:t xml:space="preserve">czyta ze zrozumieniem niemieckojęzyczną korespondencję, wyszukując w niej najważniejsze informacje; </w:t>
      </w:r>
    </w:p>
    <w:p>
      <w:pPr>
        <w:pStyle w:val="ListParagraph"/>
        <w:numPr>
          <w:ilvl w:val="1"/>
          <w:numId w:val="1"/>
        </w:numPr>
        <w:rPr/>
      </w:pPr>
      <w:r>
        <w:rPr/>
        <w:t xml:space="preserve">udziela podstawowych informacji dotyczących wykonywania czynności fryzjerskich; </w:t>
      </w:r>
    </w:p>
    <w:p>
      <w:pPr>
        <w:pStyle w:val="ListParagraph"/>
        <w:numPr>
          <w:ilvl w:val="1"/>
          <w:numId w:val="1"/>
        </w:numPr>
        <w:rPr/>
      </w:pPr>
      <w:r>
        <w:rPr/>
        <w:t xml:space="preserve">prowadzi prostą rozmowę ze współpracownikami na temat różnych czynności zawodowych; </w:t>
      </w:r>
    </w:p>
    <w:p>
      <w:pPr>
        <w:pStyle w:val="ListParagraph"/>
        <w:numPr>
          <w:ilvl w:val="1"/>
          <w:numId w:val="1"/>
        </w:numPr>
        <w:rPr/>
      </w:pPr>
      <w:r>
        <w:rPr/>
        <w:t xml:space="preserve">prowadzi prostą rozmowę z klientami w salonie; </w:t>
      </w:r>
    </w:p>
    <w:p>
      <w:pPr>
        <w:pStyle w:val="ListParagraph"/>
        <w:numPr>
          <w:ilvl w:val="1"/>
          <w:numId w:val="1"/>
        </w:numPr>
        <w:rPr/>
      </w:pPr>
      <w:r>
        <w:rPr/>
        <w:t>sporządza krótką notatkę na temat wysłuchanego tekstu;</w:t>
      </w:r>
    </w:p>
    <w:p>
      <w:pPr>
        <w:pStyle w:val="ListParagraph"/>
        <w:numPr>
          <w:ilvl w:val="1"/>
          <w:numId w:val="1"/>
        </w:numPr>
        <w:rPr/>
      </w:pPr>
      <w:r>
        <w:rPr/>
        <w:t xml:space="preserve">przygotowuje dokumenty związane z pracą zawodową według podanych wzorów; </w:t>
      </w:r>
    </w:p>
    <w:p>
      <w:pPr>
        <w:pStyle w:val="ListParagraph"/>
        <w:numPr>
          <w:ilvl w:val="1"/>
          <w:numId w:val="1"/>
        </w:numPr>
        <w:rPr/>
      </w:pPr>
      <w:r>
        <w:rPr/>
        <w:t>prowadzi prostą rozmowę wstępną;</w:t>
      </w:r>
    </w:p>
    <w:p>
      <w:pPr>
        <w:pStyle w:val="ListParagraph"/>
        <w:numPr>
          <w:ilvl w:val="1"/>
          <w:numId w:val="1"/>
        </w:numPr>
        <w:rPr/>
      </w:pPr>
      <w:r>
        <w:rPr/>
        <w:t xml:space="preserve">opisuje prostym językiem wykonywane czynności zawodowe; </w:t>
      </w:r>
    </w:p>
    <w:p>
      <w:pPr>
        <w:pStyle w:val="ListParagraph"/>
        <w:numPr>
          <w:ilvl w:val="1"/>
          <w:numId w:val="1"/>
        </w:numPr>
        <w:rPr/>
      </w:pPr>
      <w:r>
        <w:rPr/>
        <w:t>opisuje miejsce pracy;</w:t>
      </w:r>
    </w:p>
    <w:p>
      <w:pPr>
        <w:pStyle w:val="ListParagraph"/>
        <w:numPr>
          <w:ilvl w:val="1"/>
          <w:numId w:val="1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przekazuje w języku niemieckim zasady obsługi i zastosowania sprzętu w salonie fryzjerskim,</w:t>
      </w:r>
    </w:p>
    <w:p>
      <w:pPr>
        <w:pStyle w:val="ListParagraph"/>
        <w:numPr>
          <w:ilvl w:val="1"/>
          <w:numId w:val="1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przekazuje informacje dotyczące świadczonych usług w salonie,</w:t>
      </w:r>
    </w:p>
    <w:p>
      <w:pPr>
        <w:pStyle w:val="ListParagraph"/>
        <w:numPr>
          <w:ilvl w:val="1"/>
          <w:numId w:val="1"/>
        </w:numPr>
        <w:rPr/>
      </w:pPr>
      <w:r>
        <w:rPr/>
        <w:t>pisze ogłoszenie w sprawie zatrudnienia o pracę.</w:t>
      </w:r>
    </w:p>
    <w:p>
      <w:pPr>
        <w:pStyle w:val="Normal"/>
        <w:spacing w:before="360" w:after="240"/>
        <w:rPr>
          <w:rFonts w:ascii="Cambria" w:hAnsi="Cambria" w:cs="Calibri" w:asciiTheme="majorHAnsi" w:hAnsiTheme="majorHAnsi"/>
          <w:b/>
          <w:b/>
        </w:rPr>
      </w:pPr>
      <w:r>
        <w:rPr>
          <w:rFonts w:cs="Calibri" w:ascii="Cambria" w:hAnsi="Cambria" w:asciiTheme="majorHAnsi" w:hAnsiTheme="majorHAnsi"/>
          <w:b/>
        </w:rPr>
        <w:t xml:space="preserve">Kryteria oceny w zakresie szkolnych wymagań edukacyjnych: podstawowym i ponadpodstawowym </w:t>
      </w:r>
    </w:p>
    <w:tbl>
      <w:tblPr>
        <w:tblW w:w="1428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385"/>
        <w:gridCol w:w="1984"/>
        <w:gridCol w:w="2125"/>
        <w:gridCol w:w="2127"/>
        <w:gridCol w:w="2199"/>
        <w:gridCol w:w="2337"/>
        <w:gridCol w:w="2125"/>
      </w:tblGrid>
      <w:tr>
        <w:trPr>
          <w:tblHeader w:val="true"/>
        </w:trPr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mbria" w:hAnsi="Cambria" w:cs="Calibri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b/>
                <w:sz w:val="20"/>
                <w:szCs w:val="20"/>
              </w:rPr>
              <w:t>WYMAGANIE</w:t>
            </w:r>
          </w:p>
        </w:tc>
        <w:tc>
          <w:tcPr>
            <w:tcW w:w="6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jc w:val="center"/>
              <w:rPr>
                <w:rFonts w:ascii="Cambria" w:hAnsi="Cambria" w:cs="Calibri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b/>
                <w:sz w:val="20"/>
                <w:szCs w:val="20"/>
              </w:rPr>
              <w:t>Poziom podstawowy</w:t>
            </w:r>
          </w:p>
        </w:tc>
        <w:tc>
          <w:tcPr>
            <w:tcW w:w="6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mbria" w:hAnsi="Cambria" w:cs="Calibri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b/>
                <w:sz w:val="20"/>
                <w:szCs w:val="20"/>
              </w:rPr>
              <w:t>Poziom ponadpodstawowy</w:t>
            </w:r>
          </w:p>
        </w:tc>
      </w:tr>
      <w:tr>
        <w:trPr>
          <w:tblHeader w:val="true"/>
        </w:trPr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mbria" w:hAnsi="Cambria" w:cs="Calibri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Calibri" w:ascii="Cambria" w:hAnsi="Cambria"/>
                <w:b/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ambria" w:hAnsi="Cambria" w:cs="Calibri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b/>
                <w:sz w:val="20"/>
                <w:szCs w:val="20"/>
              </w:rPr>
              <w:t>Ocena niedostateczna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ambria" w:hAnsi="Cambria" w:cs="Calibri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b/>
                <w:sz w:val="20"/>
                <w:szCs w:val="20"/>
              </w:rPr>
              <w:t>Ocena dopuszczająca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ambria" w:hAnsi="Cambria" w:cs="Calibri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b/>
                <w:sz w:val="20"/>
                <w:szCs w:val="20"/>
              </w:rPr>
              <w:t>Ocena dostateczna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ambria" w:hAnsi="Cambria" w:cs="Calibri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b/>
                <w:sz w:val="20"/>
                <w:szCs w:val="20"/>
              </w:rPr>
              <w:t>Ocena dobra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ambria" w:hAnsi="Cambria" w:cs="Calibri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b/>
                <w:sz w:val="20"/>
                <w:szCs w:val="20"/>
              </w:rPr>
              <w:t>Ocena bardzo dobra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ambria" w:hAnsi="Cambria" w:cs="Calibri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b/>
                <w:sz w:val="20"/>
                <w:szCs w:val="20"/>
              </w:rPr>
              <w:t>Ocena celująca</w:t>
            </w:r>
          </w:p>
        </w:tc>
      </w:tr>
      <w:tr>
        <w:trPr>
          <w:trHeight w:val="1781" w:hRule="atLeast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Cambria" w:hAnsi="Cambria" w:cs="Calibri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b/>
                <w:sz w:val="20"/>
                <w:szCs w:val="20"/>
              </w:rPr>
              <w:t>Znajomość środków językowych</w:t>
            </w:r>
          </w:p>
          <w:p>
            <w:pPr>
              <w:pStyle w:val="Normal"/>
              <w:widowControl w:val="false"/>
              <w:spacing w:before="120" w:after="0"/>
              <w:jc w:val="center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>(leksyka i gramatyka)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ind w:right="-162" w:hanging="0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 xml:space="preserve">Uczeń operuje bardzo ubogim słownictwem, nie pozwalającym na komunikację nawet </w:t>
            </w:r>
          </w:p>
          <w:p>
            <w:pPr>
              <w:pStyle w:val="Normal"/>
              <w:widowControl w:val="false"/>
              <w:ind w:right="-162" w:hanging="0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 xml:space="preserve">z pomocą nauczyciela, nie zna struktur gramatycznych potrzebnych na danym etapie, nie rozumie poleceń i pytań nauczyciela, nie potrafi przekazywać informacji ani w formie ustnej, ani w formie pisemnej, nie konstruuje wypowiedzi, nie wykazuje żadnego zainteresowania przedmiotem i chęci poprawy zdobytych </w:t>
            </w:r>
          </w:p>
          <w:p>
            <w:pPr>
              <w:pStyle w:val="Normal"/>
              <w:widowControl w:val="false"/>
              <w:ind w:right="-162" w:hanging="0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>z przedmiotu ocen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ind w:right="-162" w:hanging="0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>Uczeń posługuje się bardzo ograniczonym zakresem słownictwa, utrudniającym realizację poleceń bez pomocy nauczyciela; zna wybrane reguły gramatyczne; w niewielkim stopniu stosuje poznane struktury gramatyczne; popełnia liczne błędy.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ind w:right="-81" w:hanging="0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 xml:space="preserve">Uczeń zna i posługuje się podstawowym słownictwem </w:t>
            </w:r>
          </w:p>
          <w:p>
            <w:pPr>
              <w:pStyle w:val="Normal"/>
              <w:widowControl w:val="false"/>
              <w:ind w:right="-81" w:hanging="0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 xml:space="preserve">i wyrażeniami; często popełnia błędy w ich wymowie i zapisie; zna znaczną część podstawowych struktur gramatyczno-leksykalnych, jednak </w:t>
            </w:r>
          </w:p>
          <w:p>
            <w:pPr>
              <w:pStyle w:val="Normal"/>
              <w:widowControl w:val="false"/>
              <w:ind w:right="-81" w:hanging="0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 xml:space="preserve">z trudem potrafi je wykorzystać </w:t>
            </w:r>
          </w:p>
          <w:p>
            <w:pPr>
              <w:pStyle w:val="Normal"/>
              <w:widowControl w:val="false"/>
              <w:ind w:right="-81" w:hanging="0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>w komunikacji.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 xml:space="preserve">Uczeń, popełniając nieliczne błędy, stosuje większość poznanych wyrazów i zwrotów; </w:t>
            </w:r>
          </w:p>
          <w:p>
            <w:pPr>
              <w:pStyle w:val="Normal"/>
              <w:widowControl w:val="false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>w większości poprawnie stosuje poznane struktury gramatyczne w zadaniach i własnych wypowiedziach; błędy nie zakłócają komunikacji.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>Uczeń zna prawie wszystkie wprowadzone słówka i wyrażenia z wymienionych zakresów tematycznych, bezbłędnie je wymawia i zapisuje; poprawnie stosuje poznane struktury gramatyczne w zadaniach językowych i własnych wypowiedziach.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 xml:space="preserve">Uczeń zna wszystkie wprowadzone słówka </w:t>
            </w:r>
          </w:p>
          <w:p>
            <w:pPr>
              <w:pStyle w:val="Normal"/>
              <w:widowControl w:val="false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 xml:space="preserve">i wyrażenia z wymienionych  zakresów tematycznych, bezbłędnie je wymawia i zapisuje, poprawnie, swobodnie </w:t>
            </w:r>
          </w:p>
          <w:p>
            <w:pPr>
              <w:pStyle w:val="Normal"/>
              <w:widowControl w:val="false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>i adekwatnie do kontekstu stosuje poznane struktury gramatyczne, rozwija samodzielnie swoje umiejętności językowe i korzysta z tekstów kultury w języku obcym, aktywnie współdziała w grupie, wykazuje aktywność w zdobywaniu wiedzy o krajach, społeczeństwach i kulturach niemieckiego obszaru językowego oraz przekazywaniu wiedzy o własnej kulturze</w:t>
            </w:r>
          </w:p>
          <w:p>
            <w:pPr>
              <w:pStyle w:val="Normal"/>
              <w:widowControl w:val="false"/>
              <w:spacing w:before="120" w:after="0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Cambria" w:hAnsi="Cambria" w:cs="Calibri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b/>
                <w:sz w:val="20"/>
                <w:szCs w:val="20"/>
              </w:rPr>
              <w:t>Rozumienie wypowiedzi</w:t>
            </w:r>
          </w:p>
          <w:p>
            <w:pPr>
              <w:pStyle w:val="Normal"/>
              <w:widowControl w:val="false"/>
              <w:spacing w:before="120" w:after="0"/>
              <w:jc w:val="center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>(ustnej i pisemnej)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 xml:space="preserve">Uczeń nie rozumie poleceń nauczyciela </w:t>
            </w:r>
          </w:p>
          <w:p>
            <w:pPr>
              <w:pStyle w:val="Normal"/>
              <w:widowControl w:val="false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>i czytanych oraz słuchanych tekstów; nie realizuje zadań na rozumienie tekstu słuchanego i czytanego.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 xml:space="preserve">Uczeń rozumie niektóre polecenia nauczyciela; </w:t>
              <w:br/>
              <w:t xml:space="preserve">w tekstach słuchanych </w:t>
              <w:br/>
              <w:t xml:space="preserve">i czytanych rozumie pojedyncze, podstawowe słowa; zadania na rozumienie tekstu czytanego </w:t>
            </w:r>
          </w:p>
          <w:p>
            <w:pPr>
              <w:pStyle w:val="Normal"/>
              <w:widowControl w:val="false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>i słuchanego sprawiają mu trudność; popełnia liczne błędy.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 xml:space="preserve">Uczeń rozumie bez problemu polecenia nauczyciela; potrafi wykonać większość zadań na rozumienie ze słuchu, jeśli może kilkakrotnie odsłuchać teksty; rozumie ogólnie proste teksty pisane </w:t>
            </w:r>
          </w:p>
          <w:p>
            <w:pPr>
              <w:pStyle w:val="Normal"/>
              <w:widowControl w:val="false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>w zakresie znanych mu tematów i struktur, a także wiele informacji szczegółowych.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 xml:space="preserve">Uczeń rozumie wszystkie polecenia nauczyciela i na ogół poprawnie wykonuje zadania na rozumienie ze słuchu; rozumie większość informacji szczegółowych </w:t>
            </w:r>
          </w:p>
          <w:p>
            <w:pPr>
              <w:pStyle w:val="Normal"/>
              <w:widowControl w:val="false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>w tekście; czyta ze zrozumieniem większość tekstów z poznanych tematów, potrafi podać ogólny sens tekstu i wykonać zadania, popełniając nieliczne błędy.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 xml:space="preserve">Uczeń rozumie wszystkie polecenia nauczyciela oraz potrafi z tekstów czytanych i słuchanych zrozumieć i wyselekcjonować wszystkie potrzebne informacje; zadania na rozumienie wypowiedzi ustnej i pisemnej wykonuje bez większych błędów.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 xml:space="preserve">Uczeń rozumie wszystkie polecenia nauczyciela oraz potrafi z tekstów czytanych </w:t>
            </w:r>
          </w:p>
          <w:p>
            <w:pPr>
              <w:pStyle w:val="Normal"/>
              <w:widowControl w:val="false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 xml:space="preserve">i słuchanych zrozumieć i wyselekcjonować wszystkie potrzebne informacje; zadania na rozumienie wypowiedzi ustnej </w:t>
            </w:r>
          </w:p>
          <w:p>
            <w:pPr>
              <w:pStyle w:val="Normal"/>
              <w:widowControl w:val="false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>i pisemnej wykonuje bezbłędnie.</w:t>
            </w:r>
          </w:p>
        </w:tc>
      </w:tr>
      <w:tr>
        <w:trPr>
          <w:trHeight w:val="2732" w:hRule="atLeast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Cambria" w:hAnsi="Cambria" w:cs="Calibri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b/>
                <w:sz w:val="20"/>
                <w:szCs w:val="20"/>
              </w:rPr>
              <w:t>Tworzenie wypowiedzi</w:t>
            </w:r>
          </w:p>
          <w:p>
            <w:pPr>
              <w:pStyle w:val="Normal"/>
              <w:widowControl w:val="false"/>
              <w:spacing w:before="120" w:after="0"/>
              <w:jc w:val="center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>(ustnej i pisemnej)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>Uczeń nie tworzy wypowiedzi ustnej ani pisemnej.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>Uczeń z trudem tworzy wypowiedzi ustne i pisemne; są to bardzo proste teksty tworzone według wzoru; popełnia liczne błędy językowe, które w znacznym stopniu wpływają na zrozumienie wypowiedzi.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 xml:space="preserve">Uczeń tworzy krótkie, kilkuzdaniowe wypowiedzi ustne </w:t>
            </w:r>
          </w:p>
          <w:p>
            <w:pPr>
              <w:pStyle w:val="Normal"/>
              <w:widowControl w:val="false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>i pisemne według wzoru, stosując mało urozmaicone słownictwo; popełnia błędy językowe, które w pewnym stopniu wpływają na zrozumienie wypowiedzi.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>Uczeń potrafi w prosty sposób wypowiedzieć się ustnie i pisemnie na większość poznanych tematów, stosując w miarę urozmaicone słownictwo i poznane struktury, nieliczne błędy nie mają wpływu na zrozumienie jego wypowiedzi.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 xml:space="preserve">Uczeń bez problemu wypowiada się na poznane tematy; jego wypowiedzi ustne </w:t>
            </w:r>
          </w:p>
          <w:p>
            <w:pPr>
              <w:pStyle w:val="Normal"/>
              <w:widowControl w:val="false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 xml:space="preserve">i pisemne są wielozdaniowe; używa szerokiego zakresu słownictwa i struktur; stosuje właściwą formę i styl wypowiedzi.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 xml:space="preserve">Uczeń swobodnie </w:t>
            </w:r>
          </w:p>
          <w:p>
            <w:pPr>
              <w:pStyle w:val="Normal"/>
              <w:widowControl w:val="false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>i tworzy wypowiedzi ustne i pisemne; używa szerokiego zakresu słownictwa i struktur, używa również leksyki zdobytej podczas samodzielnej pracy; stosuje właściwą formę i styl wypowiedzi.</w:t>
            </w:r>
          </w:p>
        </w:tc>
      </w:tr>
    </w:tbl>
    <w:p>
      <w:pPr>
        <w:pStyle w:val="Normal"/>
        <w:rPr>
          <w:rFonts w:ascii="Cambria" w:hAnsi="Cambria" w:asciiTheme="majorHAnsi" w:hAnsiTheme="majorHAnsi"/>
        </w:rPr>
      </w:pPr>
      <w:r>
        <w:rPr>
          <w:rFonts w:asciiTheme="majorHAnsi" w:hAnsiTheme="majorHAnsi" w:ascii="Cambria" w:hAnsi="Cambria"/>
        </w:rPr>
      </w:r>
      <w:r>
        <w:br w:type="page"/>
      </w:r>
    </w:p>
    <w:tbl>
      <w:tblPr>
        <w:tblW w:w="1428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385"/>
        <w:gridCol w:w="1984"/>
        <w:gridCol w:w="2125"/>
        <w:gridCol w:w="2127"/>
        <w:gridCol w:w="2199"/>
        <w:gridCol w:w="2337"/>
        <w:gridCol w:w="2125"/>
      </w:tblGrid>
      <w:tr>
        <w:trPr>
          <w:tblHeader w:val="true"/>
        </w:trPr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pageBreakBefore/>
              <w:widowControl w:val="false"/>
              <w:jc w:val="center"/>
              <w:rPr>
                <w:rFonts w:ascii="Cambria" w:hAnsi="Cambria" w:cs="Calibri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b/>
                <w:sz w:val="20"/>
                <w:szCs w:val="20"/>
              </w:rPr>
              <w:t>WYMAGANIE</w:t>
            </w:r>
          </w:p>
        </w:tc>
        <w:tc>
          <w:tcPr>
            <w:tcW w:w="6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jc w:val="center"/>
              <w:rPr>
                <w:rFonts w:ascii="Cambria" w:hAnsi="Cambria" w:cs="Calibri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b/>
                <w:sz w:val="20"/>
                <w:szCs w:val="20"/>
              </w:rPr>
              <w:t>Poziom podstawowy</w:t>
            </w:r>
          </w:p>
        </w:tc>
        <w:tc>
          <w:tcPr>
            <w:tcW w:w="6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mbria" w:hAnsi="Cambria" w:cs="Calibri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b/>
                <w:sz w:val="20"/>
                <w:szCs w:val="20"/>
              </w:rPr>
              <w:t>Poziom ponadpodstawowy</w:t>
            </w:r>
          </w:p>
        </w:tc>
      </w:tr>
      <w:tr>
        <w:trPr>
          <w:tblHeader w:val="true"/>
        </w:trPr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mbria" w:hAnsi="Cambria" w:cs="Calibri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Calibri" w:ascii="Cambria" w:hAnsi="Cambria"/>
                <w:b/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ambria" w:hAnsi="Cambria" w:cs="Calibri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b/>
                <w:sz w:val="20"/>
                <w:szCs w:val="20"/>
              </w:rPr>
              <w:t>Ocena niedostateczna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ambria" w:hAnsi="Cambria" w:cs="Calibri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b/>
                <w:sz w:val="20"/>
                <w:szCs w:val="20"/>
              </w:rPr>
              <w:t>Ocena dopuszczająca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ambria" w:hAnsi="Cambria" w:cs="Calibri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b/>
                <w:sz w:val="20"/>
                <w:szCs w:val="20"/>
              </w:rPr>
              <w:t>Ocena dostateczna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ambria" w:hAnsi="Cambria" w:cs="Calibri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b/>
                <w:sz w:val="20"/>
                <w:szCs w:val="20"/>
              </w:rPr>
              <w:t>Ocena dobra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ambria" w:hAnsi="Cambria" w:cs="Calibri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b/>
                <w:sz w:val="20"/>
                <w:szCs w:val="20"/>
              </w:rPr>
              <w:t>Ocena bardzo dobra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ambria" w:hAnsi="Cambria" w:cs="Calibri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b/>
                <w:sz w:val="20"/>
                <w:szCs w:val="20"/>
              </w:rPr>
              <w:t>Ocena celująca</w:t>
            </w:r>
          </w:p>
        </w:tc>
      </w:tr>
      <w:tr>
        <w:trPr/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b/>
                <w:sz w:val="20"/>
                <w:szCs w:val="20"/>
              </w:rPr>
              <w:t>Reagowanie</w:t>
            </w:r>
          </w:p>
          <w:p>
            <w:pPr>
              <w:pStyle w:val="Normal"/>
              <w:widowControl w:val="false"/>
              <w:spacing w:before="120" w:after="0"/>
              <w:jc w:val="center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>(ustne i pisemne)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 xml:space="preserve">Uczeń nie rozumie wypowiedzi i pytań </w:t>
            </w:r>
          </w:p>
          <w:p>
            <w:pPr>
              <w:pStyle w:val="Normal"/>
              <w:widowControl w:val="false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 xml:space="preserve">w obcym języku i nie potrafi na nie zareagować.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>Uczeń z trudem nawiązuje komunikację z powodu słabej znajomości środków językowych</w:t>
            </w:r>
          </w:p>
          <w:p>
            <w:pPr>
              <w:pStyle w:val="Normal"/>
              <w:widowControl w:val="false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 xml:space="preserve">i niepoprawnej wymowy; z pomocą nauczyciela odpowiada na proste pytania </w:t>
            </w:r>
          </w:p>
          <w:p>
            <w:pPr>
              <w:pStyle w:val="Normal"/>
              <w:widowControl w:val="false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>i prosi o udzielenie informacji, popełniając błędy, które w znacznym stopniu utrudniają komunikację.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 xml:space="preserve">Uczeń potrafi odpowiedzieć na pytania dotyczące go osobiście oraz </w:t>
            </w:r>
          </w:p>
          <w:p>
            <w:pPr>
              <w:pStyle w:val="Normal"/>
              <w:widowControl w:val="false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 xml:space="preserve">z niewielką pomocą zadać proste pytanie rozmówcy na poznane tematy, komunikację zakłócają błędy </w:t>
            </w:r>
          </w:p>
          <w:p>
            <w:pPr>
              <w:pStyle w:val="Normal"/>
              <w:widowControl w:val="false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>w wymowie, intonacji lub w strukturach gramatycznych.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 xml:space="preserve">Uczeń udziela informacji i prosi o informacje związane z poznanymi tematami, popełniając nieliczne błędy językowe, które zwykle nie zakłócają komunikacji; </w:t>
            </w:r>
          </w:p>
          <w:p>
            <w:pPr>
              <w:pStyle w:val="Normal"/>
              <w:widowControl w:val="false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 xml:space="preserve">w większości poprawnie reaguje na wypowiedzi rozmówcy, korzystając </w:t>
            </w:r>
          </w:p>
          <w:p>
            <w:pPr>
              <w:pStyle w:val="Normal"/>
              <w:widowControl w:val="false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>z poznanego słownictwa i zwrotów.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>Uczeń bierze aktywny udział w rozmowie</w:t>
            </w:r>
          </w:p>
          <w:p>
            <w:pPr>
              <w:pStyle w:val="Normal"/>
              <w:widowControl w:val="false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>i komunikuje się pisemnie; w sposób swobodny udziela informacji i prosi o informacje związane z poznanymi tematami; prawidłowo reaguje na wypowiedzi rozmówcy i korzysta z szerokiego zasobu słownictwa i struktur gramatycznych.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 xml:space="preserve">Uczeń swobodnie uczestniczy </w:t>
            </w:r>
          </w:p>
          <w:p>
            <w:pPr>
              <w:pStyle w:val="Normal"/>
              <w:widowControl w:val="false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>w rozmowie</w:t>
            </w:r>
          </w:p>
          <w:p>
            <w:pPr>
              <w:pStyle w:val="Normal"/>
              <w:widowControl w:val="false"/>
              <w:rPr>
                <w:rFonts w:ascii="Cambria" w:hAnsi="Cambria" w:cs="Calibri" w:asciiTheme="majorHAnsi" w:hAnsiTheme="majorHAnsi"/>
                <w:sz w:val="20"/>
                <w:szCs w:val="20"/>
              </w:rPr>
            </w:pPr>
            <w:r>
              <w:rPr>
                <w:rFonts w:cs="Calibri" w:ascii="Cambria" w:hAnsi="Cambria" w:asciiTheme="majorHAnsi" w:hAnsiTheme="majorHAnsi"/>
                <w:sz w:val="20"/>
                <w:szCs w:val="20"/>
              </w:rPr>
              <w:t>i komunikuje się pisemnie; używa szerokiego zakresu słownictwa i struktur, używa również leksyki zdobytej podczas samodzielnej pracy; stosuje właściwą formę i styl wypowiedzi.</w:t>
            </w:r>
          </w:p>
        </w:tc>
      </w:tr>
    </w:tbl>
    <w:p>
      <w:pPr>
        <w:pStyle w:val="Normal"/>
        <w:rPr>
          <w:rFonts w:ascii="Cambria" w:hAnsi="Cambria" w:asciiTheme="majorHAnsi" w:hAnsiTheme="majorHAnsi"/>
        </w:rPr>
      </w:pPr>
      <w:r>
        <w:rPr>
          <w:rFonts w:asciiTheme="majorHAnsi" w:hAnsiTheme="majorHAnsi" w:ascii="Cambria" w:hAnsi="Cambria"/>
        </w:rPr>
      </w:r>
    </w:p>
    <w:p>
      <w:pPr>
        <w:pStyle w:val="Normal"/>
        <w:spacing w:lineRule="auto" w:line="276" w:before="120" w:after="120"/>
        <w:jc w:val="both"/>
        <w:rPr>
          <w:rFonts w:cs="Times New Roman"/>
        </w:rPr>
      </w:pPr>
      <w:r>
        <w:rPr>
          <w:rFonts w:cs="Times New Roman"/>
        </w:rPr>
        <w:t xml:space="preserve">Na ocenę śródroczną i roczną składają się oceny z: wypowiedzi ustnych, kartkówek ze słownictwa i gramatycznych, sprawdzianów, dłuższych wypowiedzi pisemnych tworzonych na lekcji, pracy na lekcji, zadania domowego, aktywności na lekcji. </w:t>
      </w:r>
    </w:p>
    <w:p>
      <w:pPr>
        <w:pStyle w:val="Normal"/>
        <w:spacing w:lineRule="auto" w:line="276" w:before="120" w:after="120"/>
        <w:jc w:val="both"/>
        <w:rPr>
          <w:rFonts w:cs="Times New Roman"/>
        </w:rPr>
      </w:pPr>
      <w:r>
        <w:rPr>
          <w:rFonts w:cs="Times New Roman"/>
        </w:rPr>
        <w:t>Ocenianie sprawności mówienia – KOMUNIKACJA W JĘZYKU NIEMIECKIM (treść, słownictwo, poprawność komunikacyjna, płynność, wymowa, akcent i intonacja)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retekstu"/>
        <w:jc w:val="both"/>
        <w:rPr>
          <w:rFonts w:cs="Times New Roman"/>
        </w:rPr>
      </w:pPr>
      <w:r>
        <w:rPr>
          <w:rFonts w:eastAsia="Verdana" w:cs="Times New Roman"/>
          <w:b/>
          <w:bCs/>
        </w:rPr>
        <w:t xml:space="preserve">Nauczyciel jest zobowiązany dostosować wymagania edukacyjne do indywidualnych potrzeb rozwojowych i edukacyjnych oraz możliwości psychofizycznych ucznia: </w:t>
      </w:r>
    </w:p>
    <w:p>
      <w:pPr>
        <w:pStyle w:val="Tretekstu"/>
        <w:jc w:val="both"/>
        <w:rPr>
          <w:rFonts w:cs="Times New Roman"/>
        </w:rPr>
      </w:pPr>
      <w:r>
        <w:rPr>
          <w:rFonts w:cs="Times New Roman"/>
        </w:rPr>
        <w:t xml:space="preserve">1) posiadającego orzeczenie o potrzebie indywidualnego nauczania – na podstawie tego orzeczenia oraz ustaleń zawartych w IPET </w:t>
      </w:r>
    </w:p>
    <w:p>
      <w:pPr>
        <w:pStyle w:val="Tretekstu"/>
        <w:jc w:val="both"/>
        <w:rPr>
          <w:rFonts w:cs="Times New Roman"/>
        </w:rPr>
      </w:pPr>
      <w:r>
        <w:rPr>
          <w:rFonts w:cs="Times New Roman"/>
        </w:rPr>
        <w:t xml:space="preserve">2) posiadających opinię poradni psychologiczno - pedagogicznej, w tym poradni specjalistycznej, o specyficznych trudnościach w uczeniu się lub inną opinię poradni psychologiczno – pedagogicznej </w:t>
      </w:r>
    </w:p>
    <w:p>
      <w:pPr>
        <w:pStyle w:val="Tretekstu"/>
        <w:jc w:val="both"/>
        <w:rPr>
          <w:rFonts w:cs="Times New Roman"/>
        </w:rPr>
      </w:pPr>
      <w:r>
        <w:rPr>
          <w:rFonts w:cs="Times New Roman"/>
        </w:rPr>
        <w:t xml:space="preserve">3) nie posiadającego orzeczenia lub opinii wymienionych w pkt. 1 oraz 2, który objęty jest pomocą psychologiczno – pedagogiczną w szkole – na podstawie ustaleń zawartych w planie działań wspierających, opracowanym dla ucznia. </w:t>
      </w:r>
    </w:p>
    <w:p>
      <w:pPr>
        <w:pStyle w:val="Tretekstu"/>
        <w:jc w:val="both"/>
        <w:rPr>
          <w:rFonts w:cs="Times New Roman"/>
        </w:rPr>
      </w:pPr>
      <w:r>
        <w:rPr>
          <w:rFonts w:cs="Times New Roman"/>
        </w:rPr>
        <w:t xml:space="preserve">Przy ocenianiu bieżącym nauczyciel bierze pod uwagę własne obserwacje ucznia na lekcji.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footerReference w:type="default" r:id="rId2"/>
      <w:type w:val="nextPage"/>
      <w:pgSz w:orient="landscape" w:w="16838" w:h="11906"/>
      <w:pgMar w:left="1417" w:right="1417" w:header="0" w:top="1417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mbria">
    <w:charset w:val="ee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721236126"/>
    </w:sdtPr>
    <w:sdtContent>
      <w:p>
        <w:pPr>
          <w:pStyle w:val="Stopka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</w:sdtContent>
  </w:sdt>
  <w:p>
    <w:pPr>
      <w:pStyle w:val="Stopk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3904" w:hanging="360"/>
      </w:pPr>
    </w:lvl>
    <w:lvl w:ilvl="1">
      <w:start w:val="0"/>
      <w:numFmt w:val="bullet"/>
      <w:lvlText w:val="•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0"/>
  <w:defaultTabStop w:val="708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d5285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Mangal"/>
      <w:color w:val="auto"/>
      <w:kern w:val="2"/>
      <w:sz w:val="24"/>
      <w:szCs w:val="24"/>
      <w:lang w:eastAsia="hi-IN" w:bidi="hi-IN" w:val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odstawowyZnak" w:customStyle="1">
    <w:name w:val="Tekst podstawowy Znak"/>
    <w:basedOn w:val="DefaultParagraphFont"/>
    <w:link w:val="Tekstpodstawowy"/>
    <w:qFormat/>
    <w:rsid w:val="00dd5285"/>
    <w:rPr>
      <w:rFonts w:ascii="Times New Roman" w:hAnsi="Times New Roman" w:eastAsia="SimSun" w:cs="Mangal"/>
      <w:kern w:val="2"/>
      <w:sz w:val="24"/>
      <w:szCs w:val="24"/>
      <w:lang w:eastAsia="hi-IN" w:bidi="hi-IN"/>
    </w:rPr>
  </w:style>
  <w:style w:type="character" w:styleId="Strong">
    <w:name w:val="Strong"/>
    <w:basedOn w:val="DefaultParagraphFont"/>
    <w:uiPriority w:val="22"/>
    <w:qFormat/>
    <w:rsid w:val="00dd5285"/>
    <w:rPr>
      <w:b/>
      <w:bCs/>
    </w:rPr>
  </w:style>
  <w:style w:type="character" w:styleId="TekstpodstawowyZnak1" w:customStyle="1">
    <w:name w:val="Tekst podstawowy Znak1"/>
    <w:basedOn w:val="DefaultParagraphFont"/>
    <w:link w:val="Tekstpodstawowy"/>
    <w:uiPriority w:val="99"/>
    <w:semiHidden/>
    <w:qFormat/>
    <w:rsid w:val="00dd5285"/>
    <w:rPr>
      <w:rFonts w:ascii="Times New Roman" w:hAnsi="Times New Roman" w:eastAsia="SimSun" w:cs="Mangal"/>
      <w:kern w:val="2"/>
      <w:sz w:val="24"/>
      <w:szCs w:val="21"/>
      <w:lang w:eastAsia="hi-IN" w:bidi="hi-IN"/>
    </w:rPr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5a149b"/>
    <w:rPr>
      <w:rFonts w:ascii="Times New Roman" w:hAnsi="Times New Roman" w:eastAsia="SimSun" w:cs="Mangal"/>
      <w:kern w:val="2"/>
      <w:sz w:val="24"/>
      <w:szCs w:val="21"/>
      <w:lang w:eastAsia="hi-IN" w:bidi="hi-IN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5a149b"/>
    <w:rPr>
      <w:rFonts w:ascii="Times New Roman" w:hAnsi="Times New Roman" w:eastAsia="SimSun" w:cs="Mangal"/>
      <w:kern w:val="2"/>
      <w:sz w:val="24"/>
      <w:szCs w:val="21"/>
      <w:lang w:eastAsia="hi-I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rsid w:val="00dd5285"/>
    <w:pPr>
      <w:spacing w:before="0" w:after="120"/>
    </w:pPr>
    <w:rPr/>
  </w:style>
  <w:style w:type="paragraph" w:styleId="Lista">
    <w:name w:val="List"/>
    <w:basedOn w:val="Tretekstu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656a8"/>
    <w:pPr>
      <w:spacing w:before="0" w:after="0"/>
      <w:ind w:left="720" w:hanging="0"/>
      <w:contextualSpacing/>
    </w:pPr>
    <w:rPr>
      <w:szCs w:val="21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semiHidden/>
    <w:unhideWhenUsed/>
    <w:rsid w:val="005a149b"/>
    <w:pPr>
      <w:tabs>
        <w:tab w:val="clear" w:pos="708"/>
        <w:tab w:val="center" w:pos="4536" w:leader="none"/>
        <w:tab w:val="right" w:pos="9072" w:leader="none"/>
      </w:tabs>
    </w:pPr>
    <w:rPr>
      <w:szCs w:val="21"/>
    </w:rPr>
  </w:style>
  <w:style w:type="paragraph" w:styleId="Stopka">
    <w:name w:val="Footer"/>
    <w:basedOn w:val="Normal"/>
    <w:link w:val="StopkaZnak"/>
    <w:uiPriority w:val="99"/>
    <w:unhideWhenUsed/>
    <w:rsid w:val="005a149b"/>
    <w:pPr>
      <w:tabs>
        <w:tab w:val="clear" w:pos="708"/>
        <w:tab w:val="center" w:pos="4536" w:leader="none"/>
        <w:tab w:val="right" w:pos="9072" w:leader="none"/>
      </w:tabs>
    </w:pPr>
    <w:rPr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Application>LibreOffice/7.0.2.2$Windows_X86_64 LibreOffice_project/8349ace3c3162073abd90d81fd06dcfb6b36b994</Application>
  <Pages>6</Pages>
  <Words>1591</Words>
  <Characters>10908</Characters>
  <CharactersWithSpaces>12379</CharactersWithSpaces>
  <Paragraphs>159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2025-02-18T20:15:00Z</dcterms:created>
  <dc:creator>Joanna Sadowska</dc:creator>
  <dc:description/>
  <dc:language>pl-PL</dc:language>
  <cp:lastModifiedBy>Joanna Sadowska</cp:lastModifiedBy>
  <dcterms:modified xsi:type="dcterms:W3CDTF">2025-02-23T09:51:00Z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