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59" w:before="0" w:after="160"/>
        <w:jc w:val="center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</w:rPr>
        <w:t>BRANŻOWA SZKOŁA I STOPNIA  ELEKTRYK</w:t>
      </w:r>
    </w:p>
    <w:p>
      <w:pPr>
        <w:pStyle w:val="Normal"/>
        <w:spacing w:lineRule="exact" w:line="259" w:before="0" w:after="160"/>
        <w:jc w:val="center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WYMAGANIA EDUKACYJNE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spacing w:lineRule="exact" w:line="259" w:before="0" w:after="160"/>
        <w:jc w:val="center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>Z PRZEDMIOTU</w:t>
      </w:r>
    </w:p>
    <w:p>
      <w:pPr>
        <w:pStyle w:val="Normal"/>
        <w:spacing w:lineRule="exact" w:line="259" w:before="0" w:after="160"/>
        <w:jc w:val="center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>INSTALACJE ELEKTRYCZNE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Klasa 1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dopuszczającą uczeń potrafi: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rodzaje przewodów elektrycznych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wskazać miejsce oznaczenia przewodów elektrycznych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budowę, zastosowanie i oznaczenie przewodów w instalacjach do 1kV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budowę i przeznaczenie kabli elektroenergetycznych i sygnalizacyjnych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przewody szynowe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sposoby łączenia przewodów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rozróżnić urządzenia elektryczne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określić podstawowe parametry aparatów i urządzeń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elementy budowy aparatów i urządzeń elektrycznych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dokonać klasyfikacji łączników niskiego napięcia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elementy budowy łączników niskiego napięcia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stosować symbole graficzne w schematach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rodzaje łączników przemysłowych i ich przeznaczenie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rodzaje i przeznaczenie rur, rozgałęźników, złączek i puszek instalacyjnych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rury instalacyjne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łączniki na schematach oraz na podstawie wyglądu zewnętrznego i oznaczeń na nich stosowanych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osprzęt instalacyjny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rury, rozgałęźniki, złączki i puszki instalacyjne po ich wyglądzie zewnętrznym i oznaczeniach na nich stosowanych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rodzaje rozdzielnic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dostateczną uczeń </w:t>
      </w:r>
    </w:p>
    <w:p>
      <w:pPr>
        <w:pStyle w:val="Normal"/>
        <w:spacing w:lineRule="exact" w:line="259" w:before="0" w:after="160"/>
        <w:rPr/>
      </w:pPr>
      <w:r>
        <w:rPr>
          <w:rFonts w:eastAsia="Times New Roman" w:cs="Times New Roman" w:ascii="Times New Roman" w:hAnsi="Times New Roman"/>
          <w:color w:val="00000A"/>
        </w:rPr>
        <w:t xml:space="preserve">spełnia wymagania dla oceny dopuszczającej oraz </w:t>
      </w:r>
      <w:r>
        <w:rPr>
          <w:rFonts w:eastAsia="Times New Roman" w:cs="Times New Roman" w:ascii="Times New Roman" w:hAnsi="Times New Roman"/>
          <w:b/>
          <w:color w:val="00000A"/>
        </w:rPr>
        <w:t xml:space="preserve">potrafi: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rodzaj przewodu po jego wyglądzie i oznaczeniu literowo-cyfrowym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odczytać oznaczenia na przewodach elektrycznych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budowę przewodów stosowanych w instalacjach elektrycznych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budowę i oznaczenia przewodów elektroenergetycznych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przewody do układania na stałe oraz do odbiorników ruchomych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/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budowę i oznaczenia kabli elektroenergetycznych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wyjaśnić, do czego służą kable sygnalizacyjne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zasady doboru przewodów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sposoby łączenia przewodów elektrycznych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zasady zabezpieczenia przewodów i kabli elektroenergetycznych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budowę łączników niskiego napięcia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różnice w budowie łączników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budowę i zastosowanie łączników ręcznych oraz automatycznych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odczytać główne dane znamionowe aparatów i urządzeń elektrycznych z ich tabliczek znamionowych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gniazda wtyczkowe i wtyczki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podać rodzaje, schematy połączeń i zastosowanie łączników instalacyjnych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łączniki warstwowe oraz wyłączniki instalacyjne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rozróżnić parametry techniczne sprzętu instalacyjnego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parametry techniczne sprzętu instalacyjnego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działanie aparatów i urządzeń elektrycznych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budowę stycznika i jego zastosowanie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>omówić budowę i zasadę działania bezpieczników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łączniki izolacyjne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budowę łączników mechanizmowych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łączniki bezstykowe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zasilanie budynku mieszkalnego energią elektryczną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przyłącza i złącza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odczytać parametry podawane na tabliczkach znamionowych różnych łączników oraz w ich katalogach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rozróżnić urządzenia zasilające instalacje elektryczne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dobrą uczeń </w:t>
      </w:r>
    </w:p>
    <w:p>
      <w:pPr>
        <w:pStyle w:val="Normal"/>
        <w:spacing w:lineRule="exact" w:line="259" w:before="0" w:after="160"/>
        <w:rPr/>
      </w:pPr>
      <w:r>
        <w:rPr>
          <w:rFonts w:eastAsia="Times New Roman" w:cs="Times New Roman" w:ascii="Times New Roman" w:hAnsi="Times New Roman"/>
          <w:color w:val="00000A"/>
        </w:rPr>
        <w:t xml:space="preserve">spełnia wymagania dla oceny dostatecznej oraz </w:t>
      </w:r>
      <w:r>
        <w:rPr>
          <w:rFonts w:eastAsia="Times New Roman" w:cs="Times New Roman" w:ascii="Times New Roman" w:hAnsi="Times New Roman"/>
          <w:b/>
          <w:color w:val="00000A"/>
        </w:rPr>
        <w:t xml:space="preserve">potrafi: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wyjaśnić, co to jest obciążalność prądowa długotrwała przewodów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cieplne i dynamiczne działanie prądu w przewodach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identyfikować przewody elektryczne i kable na obiektach rzeczywistych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rozpoznawać przewody i kable na podstawie oznaczeń literowo-cyfrowych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sposoby gaszenia łuku elektrycznego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zasady doboru i montażu łączników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/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urządzenia rozruchowe i regulacyjne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zagadnienia normalizacyjne dotyczące urządzeń elektrycznych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podać budowę, zasadę działania i zastosowanie bezpieczników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rodzaje, budowę i zasadę działania styczników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zasadę działania wyłączników różnicowoprądowych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działanie i przeznaczenie wyzwalaczy termicznych i elektromagnetycznych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rodzaje, budowę, działanie i przeznaczenie wyłączników przemysłowych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rozróżniać elementy budowy przewodów i kabli na obiektach rzeczywistych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elementy budowy różnych wyłączników na obiektach rzeczywistych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rozróżnić łączniki izolacyjne, robocze i zwarciowe na obiektach rzeczywistych, zdjęciach, planach i schematach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zasadę działania łączników mechanizmowych.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zasady instalowania aparatów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zasady konserwowania aparatów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osprzęt elektroinstalacyjny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rozdzielnice nn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posłużyć się dokumentacją techniczną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skorzystać z norm, przepisów i katalogów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bardzo dobrą </w:t>
      </w:r>
    </w:p>
    <w:p>
      <w:pPr>
        <w:pStyle w:val="Normal"/>
        <w:spacing w:lineRule="exact" w:line="259" w:before="0" w:after="160"/>
        <w:rPr/>
      </w:pPr>
      <w:r>
        <w:rPr>
          <w:rFonts w:eastAsia="Times New Roman" w:cs="Times New Roman" w:ascii="Times New Roman" w:hAnsi="Times New Roman"/>
          <w:color w:val="00000A"/>
        </w:rPr>
        <w:t xml:space="preserve">spełnia wymagania dla oceny dobrej oraz </w:t>
      </w:r>
      <w:r>
        <w:rPr>
          <w:rFonts w:eastAsia="Times New Roman" w:cs="Times New Roman" w:ascii="Times New Roman" w:hAnsi="Times New Roman"/>
          <w:b/>
          <w:color w:val="00000A"/>
        </w:rPr>
        <w:t xml:space="preserve">potrafi: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wyjaśnić, na czym polega obciążalność cieplna przewodów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przewody elektryczne zgodnie z postawionymi warunkami technicznymi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łączniki nn i określić ich właściwości eksploatacyjne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zasady doboru i montażu łączników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wyjaśnić, na czym polega obciążalność cieplna przewodów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przewody elektryczne zgodnie z postawionymi warunkami technicznymi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łączniki nn i określić ich właściwości eksploatacyjne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zasady doboru i montażu łączników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/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celującą </w:t>
      </w:r>
      <w:r>
        <w:rPr>
          <w:rFonts w:eastAsia="Times New Roman" w:cs="Times New Roman" w:ascii="Times New Roman" w:hAnsi="Times New Roman"/>
          <w:color w:val="00000A"/>
        </w:rPr>
        <w:t xml:space="preserve">uczeń: opanował w 100% wiedzę i umiejętności objęte programem nauczania, sprawnie posługuje się zdobytymi wiadomościami w rozwiązywaniu problemów teoretycznych i praktycznych, planuje proces rozwiązywania problemów, proponuje oryginalne, twórcze rozwiązania.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>Klasa 2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dopuszczającą uczeń potrafi: </w:t>
      </w:r>
      <w:bookmarkStart w:id="0" w:name="_Hlk191383536"/>
      <w:bookmarkEnd w:id="0"/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/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rodzaje źródeł światła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rodzaje opraw oświetleniowych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przeznaczenie opraw oświetleniowych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parametry świetlne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dokonać podziału instalacji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zna definicje pojęć dotyczących instalacji elektrycznych i ochrony przeciwporażeniowej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zna zakresy napięciowe sieci rozdzielczych i instalacji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parametry techniczne sprzętu instalacyjnego oraz instalacji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zdefiniować parametry techniczne instalacji elektrycznych i sprzętu instalacyjnego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objaśnić różnicę między złączem, przyłączem i wewnętrzną linią zasilającą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sklasyfikować instalacje elektryczne ze względu na ich przeznaczenie oraz sposób wykonania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części składowe instalacji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układy sieci i instalacji elektrycznych niskiego napięcia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ogólne zasady układania przewodów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rodzaje instalacji elektrycznych w budownictwie mieszkaniowym i budynkach użyteczności publicznej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rozróżniać symbole stosowane na schematach instalacji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środki ochrony przeciwporażeniowej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zasady doboru osprzęt do wykonania instalacji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parametry instalacji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typy uszkodzeń w instalacjach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zasady lokalizacji uszkodzenia w instalacjach elektrycznych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działanie prądu na organizm ludzki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środki ochrony podstawowej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środki ochrony dodatkowej </w:t>
      </w:r>
    </w:p>
    <w:p>
      <w:pPr>
        <w:pStyle w:val="Normal"/>
        <w:numPr>
          <w:ilvl w:val="0"/>
          <w:numId w:val="5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klasy ochronności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dostateczną uczeń </w:t>
      </w:r>
    </w:p>
    <w:p>
      <w:pPr>
        <w:pStyle w:val="Normal"/>
        <w:spacing w:lineRule="exact" w:line="259" w:before="0" w:after="160"/>
        <w:rPr/>
      </w:pPr>
      <w:r>
        <w:rPr>
          <w:rFonts w:eastAsia="Times New Roman" w:cs="Times New Roman" w:ascii="Times New Roman" w:hAnsi="Times New Roman"/>
          <w:color w:val="00000A"/>
        </w:rPr>
        <w:t xml:space="preserve">spełnia wymagania dla oceny dopuszczającej oraz </w:t>
      </w:r>
      <w:r>
        <w:rPr>
          <w:rFonts w:eastAsia="Times New Roman" w:cs="Times New Roman" w:ascii="Times New Roman" w:hAnsi="Times New Roman"/>
          <w:b/>
          <w:color w:val="00000A"/>
        </w:rPr>
        <w:t xml:space="preserve">potrafi: </w:t>
      </w:r>
      <w:bookmarkStart w:id="1" w:name="_Hlk191383568"/>
      <w:bookmarkStart w:id="2" w:name="_Hlk191383490"/>
      <w:bookmarkEnd w:id="1"/>
      <w:bookmarkEnd w:id="2"/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źródła światła na eksponatach, fotografiach oraz na rysunkach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oprawy oświetleniowe na eksponatach, fotografiach oraz na rysunkach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rury, rozgałęźniki, złączki i puszki instalacyjne po ich wyglądzie zewnętrznym i oznaczeniach na nich stosowanych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zaplanować przedsięwzięcia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rozróżnić parametry techniczne instalacji elektrycznych i sprzętu instalacyjnego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/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rodzaj instalacji, typ przewodów i osprzęt instalacyjny na podstawie dokumentacji technicznej instalacji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dokonać zestawienia materiałów potrzebnych do wykonania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rodzaje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zasady wykonywania instalacji elektrycznych w budynkach mieszkalnych i przemysłowych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budowę opraw oświetleniowych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oprawy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oświetlenie pomieszczeń mieszkalnych, użyteczności publicznej, przemysłowych, usługowych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parametry techniczne sprzętu instalacyjnego oraz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sposoby pomiaru rezystancji izolacji w instalacji 1-fazowej i 3-fazowej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części składowe instalacji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elektroenergetyczną sieć rozdzielczą do 1 kV i powyżej 1 kV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układy sieci i instalacji elektrycznych niskiego napięcia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warunki pracy instalacji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rodzaje instalacji elektrycznych niskiego napięcia w zakładach przemysłowych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zasady układania przewodów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rozdział energii elektrycznej w zakładach przemysłowych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sposoby montażu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dokonać zestawienia materiałów potrzebnych do wykonania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rodzaje schematów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rozróżnić środki ochrony przeciwporażeniowej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sklasyfikować parametry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zasady doboru środków ochrony przeciwporażeniowej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zasady doboru zabezpieczeń do instalacji elektrycznej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wymienić zasady doboru przewodów do wykonania instalacji elektrycznych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środki ochrony podstawowej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środki ochrony dodatkowej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wyjaśnić, na czym polega ochrona przez zastosowanie niskich napięć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wyjaśnić, na czym polega ochrona przez samoczynne wyłączenie zasilania w układach TN, TT i IT </w:t>
      </w:r>
    </w:p>
    <w:p>
      <w:pPr>
        <w:pStyle w:val="Normal"/>
        <w:numPr>
          <w:ilvl w:val="0"/>
          <w:numId w:val="6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wyjaśnić, na czym polega koordynacja gniazd wtyczkowych i wtyczek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dobrą uczeń </w:t>
      </w:r>
    </w:p>
    <w:p>
      <w:pPr>
        <w:pStyle w:val="Normal"/>
        <w:spacing w:lineRule="exact" w:line="259" w:before="0" w:after="160"/>
        <w:rPr/>
      </w:pPr>
      <w:r>
        <w:rPr>
          <w:rFonts w:eastAsia="Times New Roman" w:cs="Times New Roman" w:ascii="Times New Roman" w:hAnsi="Times New Roman"/>
          <w:color w:val="00000A"/>
        </w:rPr>
        <w:t xml:space="preserve">spełnia wymagania dla oceny dostatecznej oraz </w:t>
      </w:r>
      <w:r>
        <w:rPr>
          <w:rFonts w:eastAsia="Times New Roman" w:cs="Times New Roman" w:ascii="Times New Roman" w:hAnsi="Times New Roman"/>
          <w:b/>
          <w:color w:val="00000A"/>
        </w:rPr>
        <w:t xml:space="preserve">potrafi: </w:t>
      </w:r>
      <w:bookmarkStart w:id="3" w:name="_Hlk191383600"/>
      <w:bookmarkEnd w:id="3"/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/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parametry techniczne instalacji elektrycznych i sprzętu instalacyjnego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dokonać analizy schematów montażowych różnych rodzajów instalacji elektrycznych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zaprojektować układy oświetleniowe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rodzaj instalacji dla określonego pomieszczenia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rozpoznać oprawy do różnego rodzaju oświetlenia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oświetlenie ogrodu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oświetlenie awaryjne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rozróżnić części składowe instalacji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układ instalacji mieszkaniowej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określić na podstawie schematu instalacji elektrycznej rodzaj instalacji elektrycznej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zasady doboru środków ochrony przeciwporażeniowej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zasady doboru zabezpieczeń do instalacji elektrycznej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wyjaśnić zasady doboru przewodów do wykonania instalacji elektrycznych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omówić warunki, które powinny spełniać układy uziemiające z ziemią </w:t>
      </w:r>
    </w:p>
    <w:p>
      <w:pPr>
        <w:pStyle w:val="Normal"/>
        <w:numPr>
          <w:ilvl w:val="0"/>
          <w:numId w:val="7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scharakteryzować ochronę przeciwporażeniową uzupełniającą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Na ocenę bardzo dobrą uczeń </w:t>
      </w:r>
    </w:p>
    <w:p>
      <w:pPr>
        <w:pStyle w:val="Normal"/>
        <w:spacing w:lineRule="exact" w:line="259" w:before="0" w:after="160"/>
        <w:rPr/>
      </w:pPr>
      <w:r>
        <w:rPr>
          <w:rFonts w:eastAsia="Times New Roman" w:cs="Times New Roman" w:ascii="Times New Roman" w:hAnsi="Times New Roman"/>
          <w:color w:val="00000A"/>
        </w:rPr>
        <w:t xml:space="preserve">spełnia wymagania dla oceny dobrej oraz </w:t>
      </w:r>
      <w:r>
        <w:rPr>
          <w:rFonts w:eastAsia="Times New Roman" w:cs="Times New Roman" w:ascii="Times New Roman" w:hAnsi="Times New Roman"/>
          <w:b/>
          <w:color w:val="00000A"/>
        </w:rPr>
        <w:t xml:space="preserve">potrafi: </w:t>
      </w:r>
      <w:bookmarkStart w:id="4" w:name="_Hlk191383624"/>
      <w:bookmarkEnd w:id="4"/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oprawy do różnego rodzaju oświetlenia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zastosować różne metody obliczania natężenia oświetlenia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źródła światła i opraw do zadanych warunków pracy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zastosować innowacyjne rozwiązania problemów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zanalizować osiągnięcia swoich działań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zastosować zasady wykonywania instalacji elektrycznych w budynkach mieszkalnych i przemysłowych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zaprojektować instalację elektryczną wraz z oświetleniem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zaprojektować układy oświetlenia awaryjnego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dobrać różne rodzaje instalacji elektrycznych w zależności od rodzaju odbiorników elektrycznych, obiektów budowlanych, czasu użytkowania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dokonać oceny stanu technicznego instalacji elektrycznych w budynkach o przeznaczeniu nieprzemysłowym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zaprojektować instalację elektryczną oświetleniową i gniazd wtykowych </w:t>
      </w:r>
    </w:p>
    <w:p>
      <w:pPr>
        <w:pStyle w:val="Normal"/>
        <w:numPr>
          <w:ilvl w:val="0"/>
          <w:numId w:val="8"/>
        </w:numPr>
        <w:spacing w:lineRule="exact" w:line="259" w:before="0" w:after="160"/>
        <w:ind w:left="720" w:hanging="3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color w:val="00000A"/>
        </w:rPr>
        <w:t xml:space="preserve">opisać metody sprawdzania skuteczności środków ochron przeciwporażeniowej </w:t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color w:val="00000A"/>
        </w:rPr>
      </w:pPr>
      <w:bookmarkStart w:id="5" w:name="_Hlk191383659"/>
      <w:r>
        <w:rPr>
          <w:rFonts w:eastAsia="Times New Roman" w:cs="Times New Roman" w:ascii="Times New Roman" w:hAnsi="Times New Roman"/>
          <w:b/>
          <w:color w:val="00000A"/>
        </w:rPr>
        <w:t xml:space="preserve">Na ocenę celującą </w:t>
      </w:r>
      <w:r>
        <w:rPr>
          <w:rFonts w:eastAsia="Times New Roman" w:cs="Times New Roman" w:ascii="Times New Roman" w:hAnsi="Times New Roman"/>
          <w:color w:val="00000A"/>
        </w:rPr>
        <w:t>uczeń:</w:t>
      </w:r>
      <w:bookmarkEnd w:id="5"/>
      <w:r>
        <w:rPr>
          <w:rFonts w:eastAsia="Times New Roman" w:cs="Times New Roman" w:ascii="Times New Roman" w:hAnsi="Times New Roman"/>
          <w:color w:val="00000A"/>
        </w:rPr>
        <w:t xml:space="preserve"> opanował w 100% wiedzę i umiejętności objęte programem nauczania, sprawnie posługuje się zdobytymi wiadomościami w rozwiązywaniu problemów teoretycznych i praktycznych, planuje proces rozwiązywania problemów, proponuje oryginalne, twórcze rozwiązania.</w:t>
      </w:r>
    </w:p>
    <w:p>
      <w:pPr>
        <w:pStyle w:val="Normal"/>
        <w:spacing w:lineRule="exact" w:line="259" w:before="0" w:after="160"/>
        <w:rPr/>
      </w:pPr>
      <w:r>
        <w:rPr/>
      </w:r>
    </w:p>
    <w:p>
      <w:pPr>
        <w:pStyle w:val="Normal"/>
        <w:spacing w:lineRule="auto" w:line="480" w:before="0" w:after="16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Klasa 3</w:t>
      </w:r>
    </w:p>
    <w:p>
      <w:pPr>
        <w:pStyle w:val="Normal"/>
        <w:spacing w:lineRule="auto" w:line="480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 xml:space="preserve">Ocenę dopuszczającą otrzymuje uczeń który: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ma obojętny stosunek do przedmiotu,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z pomocą nauczyciela rozwiązuje typowe zadania o niewielkim stopniu trudności, 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w wypowiedziach popełnia liczne błędy,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budowę i oznaczenie przewodów i kabli,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wymienić materiały przewodowe i izolacyjne,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sposób łączenia przewodów,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potrafi opisać przewody do odbiorników ruchomych i mocowanych na stałe,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zna typowe oznaczenia przewodów,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zna budowę łączników ręcznych i automatycznych,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symbole łączników,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narysować schematy łączników instalacyjnych,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z pomocą nauczyciela potrafi opisać działanie prostych układów z łącznikami, 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scharakteryzować zastosowanie wyłączników automatycznych,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skutki przepięć,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zna budowę i działanie stycznika i przekaźnika,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 pomocą nauczyciela potrafi przeanalizować budowę i działanie prostych układów sterowania,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budowę, działanie i schematy źródeł światła,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narysować schemat instalacji oświetleniowej,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potrafi sklasyfikować oprawy oświetleniowe,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rozróżnia układy sieciowe, - zna osprzęt rozdzielnic oświetleniowych i jego przeznaczenie,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budowę i działanie domowych urządzeń grzejnych,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 pomocą nauczyciela potrafi opisać przeznaczenie i osprzęt instalacji w budynku użyteczności publicznej,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samodzielnie odczytuje proste schematy instalacji elektrycznej,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symbole łączników WN,</w:t>
      </w:r>
    </w:p>
    <w:p>
      <w:pPr>
        <w:pStyle w:val="Normal"/>
        <w:suppressAutoHyphens w:val="false"/>
        <w:spacing w:lineRule="auto" w:line="276" w:before="0" w:after="160"/>
        <w:rPr>
          <w:rFonts w:ascii="Times New Roman" w:hAnsi="Times New Roman" w:eastAsia="Calibri" w:cs="Times New Roman"/>
          <w:b/>
          <w:b/>
          <w:kern w:val="0"/>
          <w:lang w:eastAsia="en-US" w:bidi="ar-SA"/>
        </w:rPr>
      </w:pPr>
      <w:r>
        <w:rPr>
          <w:rFonts w:eastAsia="Calibri" w:cs="Times New Roman" w:ascii="Times New Roman" w:hAnsi="Times New Roman"/>
          <w:b/>
          <w:kern w:val="0"/>
          <w:lang w:eastAsia="en-US" w:bidi="ar-SA"/>
        </w:rPr>
      </w:r>
    </w:p>
    <w:p>
      <w:pPr>
        <w:pStyle w:val="Normal"/>
        <w:spacing w:lineRule="auto" w:line="276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>Ocenę dostateczną otrzymuje uczeń który:</w:t>
      </w:r>
    </w:p>
    <w:p>
      <w:pPr>
        <w:pStyle w:val="Normal"/>
        <w:spacing w:lineRule="auto" w:line="276" w:before="0" w:after="16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A"/>
        </w:rPr>
        <w:t>spełnia wymagania dla oceny dopuszczającej oraz</w:t>
      </w:r>
      <w:r>
        <w:rPr>
          <w:rFonts w:eastAsia="Times New Roman" w:cs="Times New Roman" w:ascii="Times New Roman" w:hAnsi="Times New Roman"/>
          <w:b/>
          <w:color w:val="00000A"/>
        </w:rPr>
        <w:t xml:space="preserve">: 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opanował wiedzę i umiejętności na poziomie oceny dopuszczającej,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przejawia umiarkowane zainteresowanie przedmiotem, 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korzysta z pomocy nauczyciela podczas odpowiedzi,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popełnia nieliczne błędy w terminologii technicznej,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sklasyfikować przewody,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budowę i oznaczenie przewodów specjalnych,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opisać uszkodzenia przewodów,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zastosowanie przewodów,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określić skutki cieplnego i dynamicznego działania prądu,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rozpoznaje przewody po jego wyglądzie,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budowę i zastosowanie kabli,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w stopniu zaawansowanym oznaczenia przewodów,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urządzenia do gaszenia łuku,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rozróżnia oraz dobiera łączniki elektryczne do pomieszczeń o różnym charakterze,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proste schematy z łącznikami instalacyjnymi,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schematy z diagramami łączników warstwowych,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schematy z bezpiecznikami topikowymi i nadmiarowo prądowymi,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zna sposób ochrony z zastosowaniem ochronników klasy B, C, D, 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samodzielnie potrafi przeanalizować budowę i działanie prostych układów sterowania z przekaźnikami i stycznikami,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narysować schemat złożonej instalacji oświetleniowej,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obliczyć podstawowe wielkości świetlne,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opisać różnice pomiędzy układami sieciowymi,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 xml:space="preserve">analizuje schematy prostych rozdzielnic nn 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budowę i działanie przemysłowych urządzeń grzejnych,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przeanalizować instalacje na podstawie jej dokumentacji,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samodzielnie analizuje złożone schematy instalacji</w:t>
      </w:r>
    </w:p>
    <w:p>
      <w:pPr>
        <w:pStyle w:val="Normal"/>
        <w:spacing w:lineRule="auto" w:line="480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</w:r>
    </w:p>
    <w:p>
      <w:pPr>
        <w:pStyle w:val="Normal"/>
        <w:spacing w:lineRule="auto" w:line="480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>Ocenę dobrą otrzymuje uczeń który:</w:t>
      </w:r>
    </w:p>
    <w:p>
      <w:pPr>
        <w:pStyle w:val="Normal"/>
        <w:spacing w:lineRule="auto" w:line="480" w:before="0" w:after="16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A"/>
        </w:rPr>
        <w:t>spełnia wymagania dla oceny dostatecznej oraz</w:t>
      </w:r>
      <w:r>
        <w:rPr>
          <w:rFonts w:eastAsia="Times New Roman" w:cs="Times New Roman" w:ascii="Times New Roman" w:hAnsi="Times New Roman"/>
          <w:b/>
          <w:color w:val="00000A"/>
        </w:rPr>
        <w:t xml:space="preserve">: 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opanował wiedzę i umiejętności na poziomie oceny dostatecznej,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samodzielnie rozwiązuje problemy techniczne o średnim stopniu trudności,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prawidłowo posługuje się terminologią techniczną,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samodzielnie korzysta z norm, katalogów,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interesuje się przedmiotem,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scharakteryzować obciążalność przewodów,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wielkości znamionowe przewodów,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właściwie interpretuje wykresy dotyczące cieplnego działania prądu,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porównuje różne typy przewodów nn,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opisać obciążalność prądowa długotrwałą,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rozpoznaje elementy budowy przewodów na obiektach rzeczywistych,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porównuje właściwości eksploatacyjne urządzeń do gaszenia łuku,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złożone schematy z łącznikami instalacyjnymi,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złożone schematy z łącznikami automatycznymi,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przeanalizować wpływ wyłączników nadmiarowo prądowych i różnicowo prądowych na pracę układu,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zasady doboru ochronników,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porównuje parametry różnych źródeł światła,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porównuje parametry różnych opraw oświetleniowych,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schematy z układami sieciowymi,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umie samodzielnie obliczyć parametry rezystancyjnych urządzeń grzejnych,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samodzielnie zaprojektować proste instalacje,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samodzielnie przeanalizować projekty rozdzielnic nn,</w:t>
      </w:r>
    </w:p>
    <w:p>
      <w:pPr>
        <w:pStyle w:val="Normal"/>
        <w:suppressAutoHyphens w:val="false"/>
        <w:spacing w:lineRule="auto" w:line="480" w:before="0" w:after="160"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</w:r>
    </w:p>
    <w:p>
      <w:pPr>
        <w:pStyle w:val="Normal"/>
        <w:spacing w:lineRule="auto" w:line="480" w:before="0" w:after="160"/>
        <w:rPr>
          <w:rFonts w:ascii="Times New Roman" w:hAnsi="Times New Roman" w:eastAsia="Times New Roman" w:cs="Times New Roman"/>
          <w:b/>
          <w:b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>Ocenę bardzo dobrą otrzymuje uczeń który:</w:t>
      </w:r>
    </w:p>
    <w:p>
      <w:pPr>
        <w:pStyle w:val="Normal"/>
        <w:spacing w:lineRule="auto" w:line="480" w:before="0" w:after="16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A"/>
        </w:rPr>
        <w:t>spełnia wymagania dla oceny dobrej oraz</w:t>
      </w:r>
      <w:r>
        <w:rPr>
          <w:rFonts w:eastAsia="Times New Roman" w:cs="Times New Roman" w:ascii="Times New Roman" w:hAnsi="Times New Roman"/>
          <w:b/>
          <w:color w:val="00000A"/>
        </w:rPr>
        <w:t xml:space="preserve">: 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opanował w pełnym zakresie wiadomości i umiejętności określone w podstawie programowej,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samodzielnie zastosować posiadaną wiedzę do rozwiązywania problemów technicznych,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wykazuje się aktywnością i kreatywnością,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zastosować wiedzę z innych przedmiotów,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stosuje wiadomości i umiejętności w sytuacjach nietypowych,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porównuje właściwości mechaniczne i elektryczne przewodów,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opisuje wymagania stawiane przewodom,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dobiera przewody zgodnie z postawionymi warunkami technicznymi,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charakterystyki łuku prądu stałego i zmiennego,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przeanalizować wpływ urządzeń do gaszenia łuku na pracę łącznika nn,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samodzielnie zaprojektować układy z wyłącznikami nadmiarowo prądowych i różnicowo prądowymi,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analizuje układy z łącznikami bezstykowymi,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projektuje układy oświetleniowe na podstawie obliczeń,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przeanalizować wpływ zakłóceń na instalację oświetleniową z zabezpieczeniami nadmiarowymi,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potrafi przeanalizować pracę rozbudowanych układów sieciowych,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biegle analizuje proste i złożone projekty instalacji elektrycznej,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zna budowę i przeznaczenie aparatury w sieciach energetycznych,</w:t>
      </w:r>
    </w:p>
    <w:p>
      <w:pPr>
        <w:pStyle w:val="Normal"/>
        <w:suppressAutoHyphens w:val="false"/>
        <w:spacing w:lineRule="auto" w:line="480" w:before="0" w:after="160"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</w:r>
    </w:p>
    <w:p>
      <w:pPr>
        <w:pStyle w:val="Normal"/>
        <w:suppressAutoHyphens w:val="false"/>
        <w:spacing w:lineRule="auto" w:line="480" w:before="0" w:after="160"/>
        <w:contextualSpacing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>Ocenę celującą otrzymuje uczeń</w:t>
      </w:r>
      <w:r>
        <w:rPr>
          <w:rFonts w:eastAsia="Times New Roman" w:cs="Times New Roman" w:ascii="Times New Roman" w:hAnsi="Times New Roman"/>
          <w:color w:val="00000A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</w:rPr>
        <w:t>który:</w:t>
      </w:r>
    </w:p>
    <w:p>
      <w:pPr>
        <w:pStyle w:val="ListParagraph"/>
        <w:numPr>
          <w:ilvl w:val="0"/>
          <w:numId w:val="13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posiada wiedzę i umiejętność wykraczające poza program nauczania,</w:t>
      </w:r>
    </w:p>
    <w:p>
      <w:pPr>
        <w:pStyle w:val="ListParagraph"/>
        <w:numPr>
          <w:ilvl w:val="0"/>
          <w:numId w:val="13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planuje i twórczo rozwiązuje problemy techniczne,</w:t>
      </w:r>
    </w:p>
    <w:p>
      <w:pPr>
        <w:pStyle w:val="ListParagraph"/>
        <w:numPr>
          <w:ilvl w:val="0"/>
          <w:numId w:val="13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umiejętnie prezentuje poszerzoną wiedzę,</w:t>
      </w:r>
    </w:p>
    <w:p>
      <w:pPr>
        <w:pStyle w:val="ListParagraph"/>
        <w:numPr>
          <w:ilvl w:val="0"/>
          <w:numId w:val="13"/>
        </w:numPr>
        <w:suppressAutoHyphens w:val="false"/>
        <w:spacing w:lineRule="auto" w:line="360" w:before="0" w:after="160"/>
        <w:contextualSpacing/>
        <w:rPr>
          <w:rFonts w:ascii="Times New Roman" w:hAnsi="Times New Roman" w:eastAsia="Calibri" w:cs="Times New Roman"/>
          <w:kern w:val="0"/>
          <w:lang w:eastAsia="en-US" w:bidi="ar-SA"/>
        </w:rPr>
      </w:pPr>
      <w:r>
        <w:rPr>
          <w:rFonts w:eastAsia="Calibri" w:cs="Times New Roman" w:ascii="Times New Roman" w:hAnsi="Times New Roman"/>
          <w:kern w:val="0"/>
          <w:lang w:eastAsia="en-US" w:bidi="ar-SA"/>
        </w:rPr>
        <w:t>samodzielnie poszerza wiedzę poprzez czytanie literatury fachowej.</w:t>
      </w:r>
      <w:bookmarkStart w:id="6" w:name="_GoBack"/>
      <w:bookmarkEnd w:id="6"/>
    </w:p>
    <w:p>
      <w:pPr>
        <w:pStyle w:val="Normal"/>
        <w:spacing w:lineRule="auto" w:line="480" w:before="0" w:after="16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exact" w:line="259" w:before="0" w:after="160"/>
        <w:rPr>
          <w:rFonts w:ascii="Times New Roman" w:hAnsi="Times New Roman" w:eastAsia="Times New Roman" w:cs="Times New Roman"/>
          <w:b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Dostosowanie wymagań dla uczniów objętych pomocą psychologiczno pedagogiczną odbywa się na podstawie :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orzeczenia o potrzebie indywidualnego nauczania – na podstawie tego orzeczenia oraz ustaleń zawartych w IPET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opinii poradni psychologiczno - pedagogicznej, w tym poradni specjalistycznej, o specyficznych trudnościach w uczeniu się lub innej opinii poradni psychologiczno – pedagogicznej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bookmarkStart w:id="7" w:name="__DdeLink__991_3143882180"/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na podstawie ustaleń zawartych w planie działań wspierających, opracowanym dla ucznia.   który został objęty  pomocą psychologiczno – pedagogiczną w szkole</w:t>
      </w:r>
      <w:bookmarkEnd w:id="7"/>
    </w:p>
    <w:p>
      <w:pPr>
        <w:pStyle w:val="Normal"/>
        <w:spacing w:lineRule="exact" w:line="259" w:before="0" w:after="160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d6276"/>
    <w:pPr>
      <w:widowControl/>
      <w:suppressAutoHyphens w:val="true"/>
      <w:kinsoku w:val="true"/>
      <w:overflowPunct w:val="false"/>
      <w:autoSpaceDE w:val="true"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Symbol"/>
    </w:rPr>
  </w:style>
  <w:style w:type="character" w:styleId="ListLabel2">
    <w:name w:val="ListLabel 2"/>
    <w:qFormat/>
    <w:rPr>
      <w:rFonts w:ascii="Times New Roman" w:hAnsi="Times New Roman" w:cs="Symbol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ascii="Times New Roman" w:hAnsi="Times New Roman" w:cs="Symbol"/>
    </w:rPr>
  </w:style>
  <w:style w:type="character" w:styleId="ListLabel5">
    <w:name w:val="ListLabel 5"/>
    <w:qFormat/>
    <w:rPr>
      <w:rFonts w:ascii="Times New Roman" w:hAnsi="Times New Roman" w:cs="Symbol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ascii="Times New Roman" w:hAnsi="Times New Roman" w:cs="Symbol"/>
    </w:rPr>
  </w:style>
  <w:style w:type="character" w:styleId="ListLabel8">
    <w:name w:val="ListLabel 8"/>
    <w:qFormat/>
    <w:rPr>
      <w:rFonts w:ascii="Times New Roman" w:hAnsi="Times New Roman"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OpenSymbol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Symbol"/>
    </w:rPr>
  </w:style>
  <w:style w:type="character" w:styleId="ListLabel29">
    <w:name w:val="ListLabel 29"/>
    <w:qFormat/>
    <w:rPr>
      <w:rFonts w:ascii="Times New Roman" w:hAnsi="Times New Roman" w:cs="Symbol"/>
    </w:rPr>
  </w:style>
  <w:style w:type="character" w:styleId="ListLabel30">
    <w:name w:val="ListLabel 30"/>
    <w:qFormat/>
    <w:rPr>
      <w:rFonts w:ascii="Times New Roman" w:hAnsi="Times New Roman" w:cs="Symbol"/>
    </w:rPr>
  </w:style>
  <w:style w:type="character" w:styleId="ListLabel31">
    <w:name w:val="ListLabel 31"/>
    <w:qFormat/>
    <w:rPr>
      <w:rFonts w:ascii="Times New Roman" w:hAnsi="Times New Roman" w:cs="Symbol"/>
    </w:rPr>
  </w:style>
  <w:style w:type="character" w:styleId="ListLabel32">
    <w:name w:val="ListLabel 32"/>
    <w:qFormat/>
    <w:rPr>
      <w:rFonts w:ascii="Times New Roman" w:hAnsi="Times New Roman" w:cs="Symbol"/>
    </w:rPr>
  </w:style>
  <w:style w:type="character" w:styleId="ListLabel33">
    <w:name w:val="ListLabel 33"/>
    <w:qFormat/>
    <w:rPr>
      <w:rFonts w:ascii="Times New Roman" w:hAnsi="Times New Roman" w:cs="Symbol"/>
    </w:rPr>
  </w:style>
  <w:style w:type="character" w:styleId="ListLabel34">
    <w:name w:val="ListLabel 34"/>
    <w:qFormat/>
    <w:rPr>
      <w:rFonts w:ascii="Times New Roman" w:hAnsi="Times New Roman" w:cs="Symbol"/>
    </w:rPr>
  </w:style>
  <w:style w:type="character" w:styleId="ListLabel35">
    <w:name w:val="ListLabel 35"/>
    <w:qFormat/>
    <w:rPr>
      <w:rFonts w:ascii="Times New Roman" w:hAnsi="Times New Roman" w:cs="Symbol"/>
    </w:rPr>
  </w:style>
  <w:style w:type="character" w:styleId="ListLabel36">
    <w:name w:val="ListLabel 36"/>
    <w:qFormat/>
    <w:rPr>
      <w:rFonts w:ascii="Times New Roman" w:hAnsi="Times New Roman" w:cs="Symbol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Wingdings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ascii="Times New Roman" w:hAnsi="Times New Roman"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Wingdings"/>
    </w:rPr>
  </w:style>
  <w:style w:type="character" w:styleId="ListLabel54">
    <w:name w:val="ListLabel 54"/>
    <w:qFormat/>
    <w:rPr>
      <w:rFonts w:ascii="Times New Roman" w:hAnsi="Times New Roman" w:cs="Symbol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Wingdings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ascii="Times New Roman" w:hAnsi="Times New Roman" w:cs="Symbol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Wingdings"/>
    </w:rPr>
  </w:style>
  <w:style w:type="character" w:styleId="ListLabel72">
    <w:name w:val="ListLabel 72"/>
    <w:qFormat/>
    <w:rPr>
      <w:rFonts w:ascii="Times New Roman" w:hAnsi="Times New Roman" w:cs="Symbol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117">
    <w:name w:val="ListLabel 117"/>
    <w:qFormat/>
    <w:rPr>
      <w:rFonts w:cs="Wingdings"/>
    </w:rPr>
  </w:style>
  <w:style w:type="character" w:styleId="ListLabel116">
    <w:name w:val="ListLabel 116"/>
    <w:qFormat/>
    <w:rPr>
      <w:rFonts w:cs="Wingdings"/>
    </w:rPr>
  </w:style>
  <w:style w:type="character" w:styleId="ListLabel115">
    <w:name w:val="ListLabel 115"/>
    <w:qFormat/>
    <w:rPr>
      <w:rFonts w:cs="Wingdings"/>
    </w:rPr>
  </w:style>
  <w:style w:type="character" w:styleId="ListLabel114">
    <w:name w:val="ListLabel 114"/>
    <w:qFormat/>
    <w:rPr>
      <w:rFonts w:cs="Wingdings"/>
    </w:rPr>
  </w:style>
  <w:style w:type="character" w:styleId="ListLabel113">
    <w:name w:val="ListLabel 113"/>
    <w:qFormat/>
    <w:rPr>
      <w:rFonts w:cs="Wingdings"/>
    </w:rPr>
  </w:style>
  <w:style w:type="character" w:styleId="ListLabel112">
    <w:name w:val="ListLabel 112"/>
    <w:qFormat/>
    <w:rPr>
      <w:rFonts w:cs="Wingdings"/>
    </w:rPr>
  </w:style>
  <w:style w:type="character" w:styleId="ListLabel111">
    <w:name w:val="ListLabel 111"/>
    <w:qFormat/>
    <w:rPr>
      <w:rFonts w:cs="Wingdings"/>
    </w:rPr>
  </w:style>
  <w:style w:type="character" w:styleId="ListLabel110">
    <w:name w:val="ListLabel 110"/>
    <w:qFormat/>
    <w:rPr>
      <w:rFonts w:cs="Wingdings"/>
    </w:rPr>
  </w:style>
  <w:style w:type="character" w:styleId="ListLabel109">
    <w:name w:val="ListLabel 109"/>
    <w:qFormat/>
    <w:rPr>
      <w:rFonts w:ascii="Times New Roman" w:hAnsi="Times New Roman" w:cs="OpenSymbol"/>
      <w:b w:val="false"/>
    </w:rPr>
  </w:style>
  <w:style w:type="character" w:styleId="ListLabel108">
    <w:name w:val="ListLabel 108"/>
    <w:qFormat/>
    <w:rPr>
      <w:rFonts w:cs="Symbol"/>
    </w:rPr>
  </w:style>
  <w:style w:type="character" w:styleId="ListLabel107">
    <w:name w:val="ListLabel 107"/>
    <w:qFormat/>
    <w:rPr>
      <w:rFonts w:cs="Symbol"/>
    </w:rPr>
  </w:style>
  <w:style w:type="character" w:styleId="ListLabel106">
    <w:name w:val="ListLabel 106"/>
    <w:qFormat/>
    <w:rPr>
      <w:rFonts w:cs="Symbol"/>
    </w:rPr>
  </w:style>
  <w:style w:type="character" w:styleId="ListLabel105">
    <w:name w:val="ListLabel 105"/>
    <w:qFormat/>
    <w:rPr>
      <w:rFonts w:cs="Symbol"/>
    </w:rPr>
  </w:style>
  <w:style w:type="character" w:styleId="ListLabel104">
    <w:name w:val="ListLabel 104"/>
    <w:qFormat/>
    <w:rPr>
      <w:rFonts w:cs="Symbol"/>
    </w:rPr>
  </w:style>
  <w:style w:type="character" w:styleId="ListLabel103">
    <w:name w:val="ListLabel 103"/>
    <w:qFormat/>
    <w:rPr>
      <w:rFonts w:cs="Symbol"/>
    </w:rPr>
  </w:style>
  <w:style w:type="character" w:styleId="ListLabel102">
    <w:name w:val="ListLabel 102"/>
    <w:qFormat/>
    <w:rPr>
      <w:rFonts w:cs="Symbol"/>
    </w:rPr>
  </w:style>
  <w:style w:type="character" w:styleId="ListLabel101">
    <w:name w:val="ListLabel 101"/>
    <w:qFormat/>
    <w:rPr>
      <w:rFonts w:cs="Symbol"/>
    </w:rPr>
  </w:style>
  <w:style w:type="character" w:styleId="ListLabel100">
    <w:name w:val="ListLabel 100"/>
    <w:qFormat/>
    <w:rPr>
      <w:rFonts w:ascii="Times New Roman" w:hAnsi="Times New Roman" w:cs="OpenSymbol"/>
      <w:b/>
      <w:sz w:val="24"/>
    </w:rPr>
  </w:style>
  <w:style w:type="character" w:styleId="ListLabel99">
    <w:name w:val="ListLabel 99"/>
    <w:qFormat/>
    <w:rPr>
      <w:rFonts w:cs="Symbol"/>
    </w:rPr>
  </w:style>
  <w:style w:type="character" w:styleId="ListLabel98">
    <w:name w:val="ListLabel 98"/>
    <w:qFormat/>
    <w:rPr>
      <w:rFonts w:cs="Symbol"/>
    </w:rPr>
  </w:style>
  <w:style w:type="character" w:styleId="ListLabel97">
    <w:name w:val="ListLabel 97"/>
    <w:qFormat/>
    <w:rPr>
      <w:rFonts w:cs="Symbol"/>
    </w:rPr>
  </w:style>
  <w:style w:type="character" w:styleId="ListLabel96">
    <w:name w:val="ListLabel 96"/>
    <w:qFormat/>
    <w:rPr>
      <w:rFonts w:cs="Symbol"/>
    </w:rPr>
  </w:style>
  <w:style w:type="character" w:styleId="ListLabel95">
    <w:name w:val="ListLabel 95"/>
    <w:qFormat/>
    <w:rPr>
      <w:rFonts w:cs="Symbol"/>
    </w:rPr>
  </w:style>
  <w:style w:type="character" w:styleId="ListLabel94">
    <w:name w:val="ListLabel 94"/>
    <w:qFormat/>
    <w:rPr>
      <w:rFonts w:cs="Symbol"/>
    </w:rPr>
  </w:style>
  <w:style w:type="character" w:styleId="ListLabel93">
    <w:name w:val="ListLabel 93"/>
    <w:qFormat/>
    <w:rPr>
      <w:rFonts w:cs="Symbol"/>
    </w:rPr>
  </w:style>
  <w:style w:type="character" w:styleId="ListLabel92">
    <w:name w:val="ListLabel 92"/>
    <w:qFormat/>
    <w:rPr>
      <w:rFonts w:cs="Symbol"/>
    </w:rPr>
  </w:style>
  <w:style w:type="character" w:styleId="ListLabel91">
    <w:name w:val="ListLabel 91"/>
    <w:qFormat/>
    <w:rPr>
      <w:rFonts w:ascii="Times New Roman" w:hAnsi="Times New Roman" w:cs="Symbol"/>
    </w:rPr>
  </w:style>
  <w:style w:type="character" w:styleId="ListLabel90">
    <w:name w:val="ListLabel 90"/>
    <w:qFormat/>
    <w:rPr>
      <w:rFonts w:cs="Symbol"/>
    </w:rPr>
  </w:style>
  <w:style w:type="character" w:styleId="ListLabel89">
    <w:name w:val="ListLabel 89"/>
    <w:qFormat/>
    <w:rPr>
      <w:rFonts w:cs="Symbol"/>
    </w:rPr>
  </w:style>
  <w:style w:type="character" w:styleId="ListLabel88">
    <w:name w:val="ListLabel 88"/>
    <w:qFormat/>
    <w:rPr>
      <w:rFonts w:cs="Symbol"/>
    </w:rPr>
  </w:style>
  <w:style w:type="character" w:styleId="ListLabel87">
    <w:name w:val="ListLabel 87"/>
    <w:qFormat/>
    <w:rPr>
      <w:rFonts w:cs="Symbol"/>
    </w:rPr>
  </w:style>
  <w:style w:type="character" w:styleId="ListLabel86">
    <w:name w:val="ListLabel 86"/>
    <w:qFormat/>
    <w:rPr>
      <w:rFonts w:cs="Symbol"/>
    </w:rPr>
  </w:style>
  <w:style w:type="character" w:styleId="ListLabel85">
    <w:name w:val="ListLabel 85"/>
    <w:qFormat/>
    <w:rPr>
      <w:rFonts w:cs="Symbol"/>
    </w:rPr>
  </w:style>
  <w:style w:type="character" w:styleId="ListLabel84">
    <w:name w:val="ListLabel 84"/>
    <w:qFormat/>
    <w:rPr>
      <w:rFonts w:cs="Symbol"/>
    </w:rPr>
  </w:style>
  <w:style w:type="character" w:styleId="ListLabel83">
    <w:name w:val="ListLabel 83"/>
    <w:qFormat/>
    <w:rPr>
      <w:rFonts w:cs="Symbol"/>
    </w:rPr>
  </w:style>
  <w:style w:type="character" w:styleId="ListLabel82">
    <w:name w:val="ListLabel 82"/>
    <w:qFormat/>
    <w:rPr>
      <w:rFonts w:ascii="Times New Roman" w:hAnsi="Times New Roman" w:cs="Symbol"/>
    </w:rPr>
  </w:style>
  <w:style w:type="character" w:styleId="ListLabel81">
    <w:name w:val="ListLabel 81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">
    <w:name w:val="Header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db18ff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LibreOffice/6.0.2.1$Windows_X86_64 LibreOffice_project/f7f06a8f319e4b62f9bc5095aa112a65d2f3ac89</Application>
  <Pages>11</Pages>
  <Words>2217</Words>
  <Characters>15413</Characters>
  <CharactersWithSpaces>17450</CharactersWithSpaces>
  <Paragraphs>293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2025-02-20T11:45:30Z</dcterms:created>
  <dc:creator/>
  <dc:description/>
  <dc:language>pl-PL</dc:language>
  <cp:lastModifiedBy/>
  <dcterms:modified xsi:type="dcterms:W3CDTF">2025-06-13T10:00:46Z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