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CEC" w:rsidRPr="00781CEC" w:rsidRDefault="00781CEC" w:rsidP="00781CE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81CEC">
        <w:rPr>
          <w:rFonts w:ascii="Times New Roman" w:hAnsi="Times New Roman" w:cs="Times New Roman"/>
          <w:b/>
          <w:color w:val="221F1F"/>
          <w:w w:val="110"/>
          <w:sz w:val="24"/>
          <w:szCs w:val="24"/>
        </w:rPr>
        <w:t xml:space="preserve">Szczegółowe wymagania na poszczególne oceny </w:t>
      </w:r>
      <w:r w:rsidRPr="00781CEC">
        <w:rPr>
          <w:rFonts w:ascii="Times New Roman" w:hAnsi="Times New Roman" w:cs="Times New Roman"/>
          <w:b/>
          <w:i/>
          <w:sz w:val="24"/>
          <w:szCs w:val="24"/>
        </w:rPr>
        <w:t>z fizyki w klasach branżowych</w:t>
      </w:r>
    </w:p>
    <w:p w:rsidR="00781CEC" w:rsidRPr="00781CEC" w:rsidRDefault="00781CEC" w:rsidP="00781CE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81CEC">
        <w:rPr>
          <w:rFonts w:ascii="Times New Roman" w:hAnsi="Times New Roman" w:cs="Times New Roman"/>
          <w:b/>
          <w:i/>
          <w:sz w:val="24"/>
          <w:szCs w:val="24"/>
        </w:rPr>
        <w:t>w Zespole Szkół Ponadpodstawowych w Zgorzelcu</w:t>
      </w:r>
    </w:p>
    <w:p w:rsidR="00781CEC" w:rsidRPr="00781CEC" w:rsidRDefault="00781CEC" w:rsidP="00781CEC">
      <w:pPr>
        <w:pStyle w:val="Tekstpodstawowy"/>
        <w:kinsoku w:val="0"/>
        <w:overflowPunct w:val="0"/>
        <w:spacing w:before="120" w:line="360" w:lineRule="auto"/>
        <w:rPr>
          <w:rFonts w:ascii="Times New Roman" w:hAnsi="Times New Roman" w:cs="Times New Roman"/>
          <w:b/>
          <w:color w:val="221F1F"/>
          <w:w w:val="110"/>
          <w:sz w:val="24"/>
          <w:szCs w:val="24"/>
        </w:rPr>
      </w:pPr>
    </w:p>
    <w:p w:rsidR="00781CEC" w:rsidRPr="00781CEC" w:rsidRDefault="00781CEC" w:rsidP="00781CEC">
      <w:pPr>
        <w:pStyle w:val="Tekstpodstawowy"/>
        <w:kinsoku w:val="0"/>
        <w:overflowPunct w:val="0"/>
        <w:spacing w:line="276" w:lineRule="auto"/>
        <w:rPr>
          <w:rFonts w:ascii="Times New Roman" w:hAnsi="Times New Roman" w:cs="Times New Roman"/>
          <w:i/>
          <w:color w:val="221F1F"/>
          <w:w w:val="110"/>
          <w:sz w:val="16"/>
          <w:szCs w:val="16"/>
        </w:rPr>
      </w:pPr>
      <w:r w:rsidRPr="00781CEC">
        <w:rPr>
          <w:rFonts w:ascii="Times New Roman" w:hAnsi="Times New Roman" w:cs="Times New Roman"/>
          <w:i/>
          <w:color w:val="221F1F"/>
          <w:w w:val="110"/>
          <w:sz w:val="16"/>
          <w:szCs w:val="16"/>
        </w:rPr>
        <w:t xml:space="preserve">(wymagania na kolejne oceny się </w:t>
      </w:r>
      <w:r w:rsidRPr="00781CEC">
        <w:rPr>
          <w:rFonts w:ascii="Times New Roman" w:hAnsi="Times New Roman" w:cs="Times New Roman"/>
          <w:b/>
          <w:bCs/>
          <w:i/>
          <w:color w:val="221F1F"/>
          <w:w w:val="110"/>
          <w:sz w:val="16"/>
          <w:szCs w:val="16"/>
        </w:rPr>
        <w:t xml:space="preserve">kumulują </w:t>
      </w:r>
      <w:r w:rsidRPr="00781CEC">
        <w:rPr>
          <w:rFonts w:ascii="Times New Roman" w:hAnsi="Times New Roman" w:cs="Times New Roman"/>
          <w:i/>
          <w:color w:val="221F1F"/>
          <w:w w:val="125"/>
          <w:sz w:val="16"/>
          <w:szCs w:val="16"/>
        </w:rPr>
        <w:t xml:space="preserve">– </w:t>
      </w:r>
      <w:r w:rsidRPr="00781CEC">
        <w:rPr>
          <w:rFonts w:ascii="Times New Roman" w:hAnsi="Times New Roman" w:cs="Times New Roman"/>
          <w:i/>
          <w:color w:val="221F1F"/>
          <w:w w:val="110"/>
          <w:sz w:val="16"/>
          <w:szCs w:val="16"/>
        </w:rPr>
        <w:t>obejmują również wymagania na oceny niższe)</w:t>
      </w:r>
    </w:p>
    <w:p w:rsidR="00781CEC" w:rsidRPr="00781CEC" w:rsidRDefault="00781CEC" w:rsidP="00781CEC">
      <w:pPr>
        <w:rPr>
          <w:rFonts w:ascii="Times New Roman" w:hAnsi="Times New Roman" w:cs="Times New Roman"/>
          <w:color w:val="221F1F"/>
          <w:w w:val="105"/>
          <w:sz w:val="24"/>
          <w:szCs w:val="24"/>
        </w:rPr>
      </w:pPr>
    </w:p>
    <w:p w:rsidR="00781CEC" w:rsidRPr="00781CEC" w:rsidRDefault="00781CEC" w:rsidP="00781CEC">
      <w:pPr>
        <w:rPr>
          <w:rFonts w:ascii="Times New Roman" w:hAnsi="Times New Roman" w:cs="Times New Roman"/>
          <w:sz w:val="24"/>
          <w:szCs w:val="24"/>
        </w:rPr>
      </w:pPr>
      <w:r w:rsidRPr="00781CEC">
        <w:rPr>
          <w:rFonts w:ascii="Times New Roman" w:hAnsi="Times New Roman" w:cs="Times New Roman"/>
          <w:sz w:val="24"/>
          <w:szCs w:val="24"/>
        </w:rPr>
        <w:t>Klasa 2</w:t>
      </w:r>
    </w:p>
    <w:tbl>
      <w:tblPr>
        <w:tblStyle w:val="Tabela-Siatka"/>
        <w:tblW w:w="5000" w:type="pct"/>
        <w:tblLook w:val="04A0"/>
      </w:tblPr>
      <w:tblGrid>
        <w:gridCol w:w="1923"/>
        <w:gridCol w:w="2457"/>
        <w:gridCol w:w="2457"/>
        <w:gridCol w:w="2457"/>
        <w:gridCol w:w="2457"/>
        <w:gridCol w:w="2469"/>
      </w:tblGrid>
      <w:tr w:rsidR="00781CEC" w:rsidRPr="00781CEC" w:rsidTr="0036213F">
        <w:tc>
          <w:tcPr>
            <w:tcW w:w="676" w:type="pct"/>
            <w:tcBorders>
              <w:bottom w:val="single" w:sz="4" w:space="0" w:color="auto"/>
            </w:tcBorders>
          </w:tcPr>
          <w:p w:rsidR="00781CEC" w:rsidRPr="00781CEC" w:rsidRDefault="00781CEC" w:rsidP="00781CE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81CEC" w:rsidRPr="00781CEC" w:rsidRDefault="00781CEC" w:rsidP="00781CE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b/>
                <w:sz w:val="16"/>
                <w:szCs w:val="16"/>
              </w:rPr>
              <w:t>ocena dopuszczająca</w:t>
            </w:r>
          </w:p>
          <w:p w:rsidR="00781CEC" w:rsidRPr="00781CEC" w:rsidRDefault="00781CEC" w:rsidP="00781CE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81CEC" w:rsidRPr="00781CEC" w:rsidRDefault="00781CEC" w:rsidP="00781CE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b/>
                <w:sz w:val="16"/>
                <w:szCs w:val="16"/>
              </w:rPr>
              <w:t>ocena dostateczne</w:t>
            </w:r>
          </w:p>
          <w:p w:rsidR="00781CEC" w:rsidRPr="00781CEC" w:rsidRDefault="00781CEC" w:rsidP="00781CE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81CEC" w:rsidRPr="00781CEC" w:rsidRDefault="00781CEC" w:rsidP="00781CE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b/>
                <w:sz w:val="16"/>
                <w:szCs w:val="16"/>
              </w:rPr>
              <w:t>ocena dobra</w:t>
            </w:r>
          </w:p>
          <w:p w:rsidR="00781CEC" w:rsidRPr="00781CEC" w:rsidRDefault="00781CEC" w:rsidP="00781CE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81CEC" w:rsidRPr="00781CEC" w:rsidRDefault="00781CEC" w:rsidP="00781CE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CEC" w:rsidRPr="00781CEC" w:rsidRDefault="00781CEC" w:rsidP="00781CE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b/>
                <w:sz w:val="16"/>
                <w:szCs w:val="16"/>
              </w:rPr>
              <w:t>ocena bardzo dobra</w:t>
            </w:r>
          </w:p>
          <w:p w:rsidR="00781CEC" w:rsidRPr="00781CEC" w:rsidRDefault="00781CEC" w:rsidP="00781CE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81CEC" w:rsidRPr="00781CEC" w:rsidRDefault="00781CEC" w:rsidP="00781CE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b/>
                <w:sz w:val="16"/>
                <w:szCs w:val="16"/>
              </w:rPr>
              <w:t>ocena celująca</w:t>
            </w:r>
          </w:p>
          <w:p w:rsidR="00781CEC" w:rsidRPr="00781CEC" w:rsidRDefault="00781CEC" w:rsidP="00781CE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81CEC" w:rsidRPr="00781CEC" w:rsidTr="0036213F">
        <w:tc>
          <w:tcPr>
            <w:tcW w:w="5000" w:type="pct"/>
            <w:gridSpan w:val="6"/>
          </w:tcPr>
          <w:p w:rsidR="00781CEC" w:rsidRPr="00781CEC" w:rsidRDefault="00781CEC" w:rsidP="00781CE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1. Prąd stały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numPr>
                <w:ilvl w:val="0"/>
                <w:numId w:val="6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t>Prąd elektryczny. Natężenie prądu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prąd elektryczny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natężenie prądu elektrycznego oraz podaje jego jednostkę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wie, że do pomiaru natężenia prądu wykorzystuje się amperomierz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jednostkę ładunku elektrycznego na podstawie jednostki natężenia prądu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korzysta z amperomierza do pomiaru natężenia prądu, prawidłowo odczytuje wynik pomiaru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prędkość dryfu i prędkość unoszenia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mechanizm przepływu prądu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wykorzystuje pojęcie natężenia prądu w sytuacjach typowych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prawidłowo włącza amperomierz w obwód elektryczny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wykorzystuje pojęcie natężenia prądu w sytuacjach problemowych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10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zna rząd wielkości prędkości przepływu prądu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10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numPr>
                <w:ilvl w:val="0"/>
                <w:numId w:val="6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t>Napięcie elektryczne. Źródła napięcia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pojęcie obwodu elektrycznego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napięcie w obwodzie elektrycznym i podaje jego jednostkę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wie, że do pomiaru natężenia prądu wykorzystuje się woltomierz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definiuje ogniwo 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zapisuje jednostkę napięcia za pomocą jednostek podstawowych układu SI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korzysta z woltomierza do pomiaru napięcia elektrycznego, prawidłowo odczytuje wynik pomiaru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podaje przykłady ogniw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posługuje się wartością napięcia w obwodzie elektrycznym w sytuacjach typowych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prawidłowo włącza woltomierz w obwód elektryczny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zasady łączenia ogniw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9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posługuje się wartością napięcia w obwodzie elektrycznym w sytuacjach problemowych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9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różne rodzaje ogniw i ich działanie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9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stosuje zasadę dodawania napięć w układzie ogniw połączonych szeregowo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9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opisuje równoległe połączenie ogniw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9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numPr>
                <w:ilvl w:val="0"/>
                <w:numId w:val="6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t>Obwody elektryczne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12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obwód elektryczny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12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wymienia podstawowe elementy obwodów elektrycznych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12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prawidłowo włącza mierniki w obwód elektryczny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12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stosuje zasady bezpieczeństwa przy pracy z obwodem elektrycznym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12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definiuje pojęcie pracy i mocy prądu elektrycznego, podaje </w:t>
            </w:r>
            <w:r w:rsidRPr="00781CEC">
              <w:rPr>
                <w:rFonts w:cs="Times New Roman"/>
                <w:sz w:val="16"/>
                <w:szCs w:val="16"/>
              </w:rPr>
              <w:lastRenderedPageBreak/>
              <w:t>ich jednostki w układzie SI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lastRenderedPageBreak/>
              <w:t>wymienia zasady projektowania obwodów elektrycznych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zna symbole podstawowych elementów obwodów elektrycznych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wykorzystuje kilowatogodzinę jako jednostkę pracy prądu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4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rozpoznaje podstawowe elementy obwodów elektrycznych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4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prawidłowo odczytuje proste schematy elektryczne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4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wykorzystuje zależności pomiędzy napięciem, natężeniem, pracą i mocą prądu w sytuacjach typowych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12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stosuje zasady projektowania obwodów elektrycznych w prostych sytuacjach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12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rysuje proste schematy elektryczne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12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wykorzystuje zależności pomiędzy napięciem, natężeniem, pracą i mocą prądu w sytuacjach problemowych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13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opisuje działanie ogniwa włączonego w obwód elektryczny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13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opisuje przepływ prądu w elektrolitach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13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wykorzystuje pojęcie mocy znamionowej odbiorników w obwodzie elektrycznym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13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numPr>
                <w:ilvl w:val="0"/>
                <w:numId w:val="6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lastRenderedPageBreak/>
              <w:t>Prawo Ohma. Opór elektryczny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opór elektryczny i podaje jego jednostkę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formułuje prawo Ohma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znaczenie oporu elektrycznego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opornik jako element obwodu elektrycznego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charakterystykę prądowo-napięciową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zapisuje jednostkę oporu elektrycznego za pomocą jednostek podstawowych układu SI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wykorzystuje prawo Ohma do obliczania oporu, napięcia, natężenia, pracy i mocy prądu elektrycznego w sytuacjach typowych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wykorzystuje prawo Ohma do obliczania oporu, napięcia, natężenia, pracy i mocy prądu elektrycznego w sytuacjach problemowych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techniczną metodę pomiaru oporu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opór elektryczny, korzystając z pojęć elektrycznej teorii budowy materii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numPr>
                <w:ilvl w:val="0"/>
                <w:numId w:val="6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t>Pierwsze prawo Kirchhoffa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formułuje pierwsze prawo Kirchhoffa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rozpoznaje i opisuje szeregowe i równoległe łączenie oporników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wykorzystuje I prawo Kirchhoffa do opisu obwodu prądu stałego w sytuacjach typowych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wykorzystuje I prawo Kirchhoffa do opisu obwodu prądu stałego w sytuacjach problemowych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ilustruje doświadczalnie I prawo Kirchhoffa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3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oblicza opór zastępczy szeregowego i równoległego połączenia oporników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numPr>
                <w:ilvl w:val="0"/>
                <w:numId w:val="6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t>Domowa sieć elektryczna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sieć domową jako przykład obwodu elektrycznego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zna i stosuje zasady bezpieczeństwa przy pracy z obwodem elektrycznym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opisuje rolę bezpieczników różnicowych i przewodu uziemiającego 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podaje przykłady różnych rodzaje bezpieczników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różne rodzaje bezpieczników</w:t>
            </w:r>
          </w:p>
          <w:p w:rsidR="00781CEC" w:rsidRPr="00781CEC" w:rsidRDefault="00781CEC" w:rsidP="00781CEC">
            <w:pPr>
              <w:ind w:left="227" w:hanging="17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opisuje działanie bezpieczników różnicowych i przewodu uziemiającego </w:t>
            </w:r>
          </w:p>
          <w:p w:rsidR="00781CEC" w:rsidRPr="00781CEC" w:rsidRDefault="00781CEC" w:rsidP="00781CEC">
            <w:pPr>
              <w:ind w:left="227" w:hanging="17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3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781CEC" w:rsidRPr="00781CEC" w:rsidTr="0036213F">
        <w:tc>
          <w:tcPr>
            <w:tcW w:w="5000" w:type="pct"/>
            <w:gridSpan w:val="6"/>
          </w:tcPr>
          <w:p w:rsidR="00781CEC" w:rsidRPr="00781CEC" w:rsidRDefault="00781CEC" w:rsidP="00781CEC">
            <w:pPr>
              <w:ind w:left="426" w:hanging="42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2. Magnetyzm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numPr>
                <w:ilvl w:val="0"/>
                <w:numId w:val="7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t>Magnesy. Pole magnetyczne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magnes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definiuje bieguny magnesu 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pole magnetyczne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podaje przykłady magnesów i ich zastosowania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kreśli linie pola magnetycznego wokół i wewnątrz magnesu trwałego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pole magnetyczne Ziemi, kreśli linie pola, oznacza bieguny magnetyczne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opisuje właściwości magnesów 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właściwości pola magnetycznego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wyjaśnia znaczenie pola magnetycznego Ziemi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działanie igły magnetycznej i kompasu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demonstruje doświadczalnie linie pola magnetycznego magnesu trwałego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definiuje dipol magnetyczny i wyjaśnia jego znaczenie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numPr>
                <w:ilvl w:val="0"/>
                <w:numId w:val="7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t>Pole magnetyczne przewodników z prądem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zwojnicę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jest świadomy istnienia pola magnetycznego w otoczeniu przewodnika z prądem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pole magnetyczne wokół prostoliniowego przewodnika z prądem i przewodnika kołowego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pole magnetyczne zwojnicy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stosuje regułę prawej ręki do wyznaczania zwrotu linii pola magnetycznego prostoliniowego przewodnika z prądem, przewodnika kołowego oraz zwojnicy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rysuje linie pola magnetycznego wokół prostoliniowego i kołowego przewodnika oraz zwojnicy z prądem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zasadę działania elektromagnesu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wyjaśnia istnienie pola magnetycznego Ziemi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numPr>
                <w:ilvl w:val="0"/>
                <w:numId w:val="7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t>Siła elektrodynamiczna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siłę elektrodynamiczną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oddziaływanie pola magnetycznego na przewodnik z prądem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czynniki mające wpływ na wartość siły elektrodynamicznej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stosuje regułę lewej dłoni do wyznaczania kierunku i zwrotu siły elektrodynamicznej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znaczenie siły elektrodynamicznej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wyznacza kierunek i zwrot siły elektrodynamicznej w sytuacjach problemowych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definiuje indukcję magnetyczną i podaje jej jednostkę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oblicza wartość siły elektrodynamicznej</w:t>
            </w:r>
          </w:p>
        </w:tc>
      </w:tr>
      <w:tr w:rsidR="00781CEC" w:rsidRPr="00781CEC" w:rsidTr="0036213F">
        <w:tc>
          <w:tcPr>
            <w:tcW w:w="5000" w:type="pct"/>
            <w:gridSpan w:val="6"/>
          </w:tcPr>
          <w:p w:rsidR="00781CEC" w:rsidRPr="00781CEC" w:rsidRDefault="00781CEC" w:rsidP="00781CEC">
            <w:pPr>
              <w:ind w:left="426" w:hanging="42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3. Indukcja elektromagnetyczna, prąd przemienny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numPr>
                <w:ilvl w:val="0"/>
                <w:numId w:val="8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t>Zjawisko indukcji elektromagnetycz</w:t>
            </w:r>
            <w:r w:rsidRPr="00781CEC">
              <w:rPr>
                <w:rStyle w:val="Bold"/>
                <w:rFonts w:cs="Times New Roman"/>
                <w:sz w:val="16"/>
                <w:szCs w:val="16"/>
              </w:rPr>
              <w:lastRenderedPageBreak/>
              <w:t>nej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lastRenderedPageBreak/>
              <w:t>definiuje prąd indukcyjny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podaje przykłady </w:t>
            </w:r>
            <w:r w:rsidRPr="00781CEC">
              <w:rPr>
                <w:rFonts w:cs="Times New Roman"/>
                <w:sz w:val="16"/>
                <w:szCs w:val="16"/>
              </w:rPr>
              <w:lastRenderedPageBreak/>
              <w:t>wykorzystania zjawiska indukcji elektromagnetycznej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lastRenderedPageBreak/>
              <w:t>opisuje zjawisko indukcji elektromagnetycznej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lastRenderedPageBreak/>
              <w:t>formułuje warunek powstania prądu indukcyjnego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lastRenderedPageBreak/>
              <w:t>wyjaśnia znaczenie zjawiska indukcji elektromagnetycznej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lastRenderedPageBreak/>
              <w:t>opisuje zjawiska zachodzące podczas ruchu magnesu wewnątrz zwojnicy, przez którą płynie prąd elektryczny w sytuacjach typowych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lastRenderedPageBreak/>
              <w:t xml:space="preserve">opisuje zjawiska zachodzące podczas ruchu magnesu </w:t>
            </w:r>
            <w:r w:rsidRPr="00781CEC">
              <w:rPr>
                <w:rFonts w:cs="Times New Roman"/>
                <w:sz w:val="16"/>
                <w:szCs w:val="16"/>
              </w:rPr>
              <w:lastRenderedPageBreak/>
              <w:t>wewnątrz zwojnicy, przez którą płynie prąd elektryczny w sytuacjach problemowych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rozwiązuje zadania problemowe wykraczające </w:t>
            </w:r>
            <w:r w:rsidRPr="00781CE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poza wymagania dopełniające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numPr>
                <w:ilvl w:val="0"/>
                <w:numId w:val="8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lastRenderedPageBreak/>
              <w:t>Prąd przemienny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prąd przemienny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wymienia wielkości charakteryzujące prąd przemienny: okres, częstotliwość, amplitudę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napięcie i natężenie skuteczne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wielkości charakteryzujące prąd przemienny: okres, częstotliwość, amplitudę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zapisuje prawo Ohma dla obwodu prądu przemiennego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znaczenie wartości napięcia i natężenia skutecznego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wykorzystuje pojęcia napięcia, natężenia i mocy skutecznej w sytuacjach typowych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rysuje wykres zależności natężenia prądu od czasu dla prądu przemiennego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11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sposób opisu urządzeń prądu przemiennego zamieszczony na tabliczkach znamionowych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11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wykorzystuje pojęcia napięcia, natężenia i mocy skutecznej w sytuacjach problemowych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wykorzystuje zależności między wartościami maksymalnymi i skutecznymi natężenia i napięcia dla prądu przemiennego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numPr>
                <w:ilvl w:val="0"/>
                <w:numId w:val="8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t>Transformator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budowę transformatora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wymienia przykłady zastosowania transformatora 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zasadę działania transformatora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wskazuje uzwojenie pierwotne i wtórne transformatora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zastosowania transformatora w technice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oblicza natężenia prądu i napięcia na uzwojeniu wtórnym i pierwotnym oraz przekładnię transformatora w sytuacjach typowych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oblicza natężenia prądu i napięcia na uzwojeniu wtórnym i pierwotnym oraz przekładnię transformatora w sytuacjach problemowych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opisuje inne zastosowanie zjawiska indukcji magnetycznej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 xml:space="preserve">formułuje prawo </w:t>
            </w:r>
            <w:proofErr w:type="spellStart"/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Joule’a-Lenza</w:t>
            </w:r>
            <w:proofErr w:type="spellEnd"/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781CEC" w:rsidRPr="00781CEC" w:rsidTr="0036213F">
        <w:tc>
          <w:tcPr>
            <w:tcW w:w="5000" w:type="pct"/>
            <w:gridSpan w:val="6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426" w:hanging="426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4. Energia w zjawiskach cieplnych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numPr>
                <w:ilvl w:val="0"/>
                <w:numId w:val="14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t>Cząsteczkowa budowa materii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wymienia podstawowe elementy kinetyczno-molekularnej teorii budowy materii (atomy, pierwiastki, związki chemiczne)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wymienia trzy stany skupienia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gęstość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ciśnienie i siłę parcia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podstawowe elementy kinetyczno-molekularnej teorii budowy materii (atomy, pierwiastki, związki chemiczne)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wymienia główne założenia kinetyczno-molekularnej teorii budowy materii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główne założenia kinetyczno-molekularnej teorii budowy materii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główne cechy trzech stanów skupienia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posługuje się układem okresowym pierwiastków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oblicza gęstość w sytuacjach typowych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posługuje się pojęciem ciśnienia w sytuacjach typowych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budowę molekularną ciał stałych, cieczy i gazów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oblicza gęstość w sytuacjach problemowych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posługuje się pojęciem ciśnienia w sytuacjach problemowych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opisuje i wyjaśnia zjawisko dyfuzji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opisuje ciała krystaliczne i bezpostaciowe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  <w:p w:rsidR="00781CEC" w:rsidRPr="00781CEC" w:rsidRDefault="00781CEC" w:rsidP="00781CEC">
            <w:p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numPr>
                <w:ilvl w:val="1"/>
                <w:numId w:val="15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t>Zjawisko rozszerzalności cieplnej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definiuje rozszerzalność cieplną 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zjawisko rozszerzalności cieplnej gazów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znaczenie rozszerzalności cielnej w technice i życiu codziennym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zjawisko rozszerzalności cieplnej gazów, korzystając z pojęć kinetyczno-molekularnej teorii budowy materii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demonstruje doświadczalnie zjawisko rozszerzalności cieplnej gazów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16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opisuje rozszerzalność cieplną cieczy oraz rozszerzalność cieplną wody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16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opisuje rozszerzalność cieplną ciał stałych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numPr>
                <w:ilvl w:val="1"/>
                <w:numId w:val="15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t xml:space="preserve">Temperatura, energia wewnętrzna i </w:t>
            </w:r>
            <w:proofErr w:type="spellStart"/>
            <w:r w:rsidRPr="00781CEC">
              <w:rPr>
                <w:rStyle w:val="Bold"/>
                <w:rFonts w:cs="Times New Roman"/>
                <w:sz w:val="16"/>
                <w:szCs w:val="16"/>
              </w:rPr>
              <w:t>ciepo</w:t>
            </w:r>
            <w:proofErr w:type="spellEnd"/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pojęcie temperatury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definiuje temperaturę bezwzględną 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definiuje energię wewnętrzną 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lastRenderedPageBreak/>
              <w:t>definiuje ciepło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formułuje i wyjaśniać zasadę równoważności ciepła i pracy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formułuje I zasadę termodynamiki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lastRenderedPageBreak/>
              <w:t>stosuje skalę Kelwina, zamienia stopnie Celsjusza na kelwiny i odwrotnie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podaje wartość temperatury </w:t>
            </w:r>
            <w:r w:rsidRPr="00781CEC">
              <w:rPr>
                <w:rFonts w:cs="Times New Roman"/>
                <w:sz w:val="16"/>
                <w:szCs w:val="16"/>
              </w:rPr>
              <w:lastRenderedPageBreak/>
              <w:t>zera bezwzględnego w skali Kelwina i w skali Celsjusza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jest świadomy zależności między ciepłem dostarczonym a zmianą temperatury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podaje przykłady przekazywania energii w formie ciepła i w formie pracy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lastRenderedPageBreak/>
              <w:t xml:space="preserve">wyjaśnia znaczenia temperatury zera bezwzględnego 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wyjaśnia zależność pomiędzy </w:t>
            </w:r>
            <w:r w:rsidRPr="00781CEC">
              <w:rPr>
                <w:rFonts w:cs="Times New Roman"/>
                <w:sz w:val="16"/>
                <w:szCs w:val="16"/>
              </w:rPr>
              <w:lastRenderedPageBreak/>
              <w:t>temperaturą a energią wewnętrzną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zależność między ciepłem dostarczonym a zmianą temperatury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różnice pomiędzy pojęciami energii, ciepła i pracy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opisuje zjawiska życia codziennego za pomocą pojęć </w:t>
            </w:r>
            <w:r w:rsidRPr="00781CEC">
              <w:rPr>
                <w:rFonts w:cs="Times New Roman"/>
                <w:i/>
                <w:iCs/>
                <w:sz w:val="16"/>
                <w:szCs w:val="16"/>
              </w:rPr>
              <w:t>energia</w:t>
            </w:r>
            <w:r w:rsidRPr="00781CEC">
              <w:rPr>
                <w:rFonts w:cs="Times New Roman"/>
                <w:sz w:val="16"/>
                <w:szCs w:val="16"/>
              </w:rPr>
              <w:t xml:space="preserve">, </w:t>
            </w:r>
            <w:r w:rsidRPr="00781CEC">
              <w:rPr>
                <w:rFonts w:cs="Times New Roman"/>
                <w:i/>
                <w:iCs/>
                <w:sz w:val="16"/>
                <w:szCs w:val="16"/>
              </w:rPr>
              <w:t>ciepło</w:t>
            </w:r>
            <w:r w:rsidRPr="00781CEC">
              <w:rPr>
                <w:rFonts w:cs="Times New Roman"/>
                <w:sz w:val="16"/>
                <w:szCs w:val="16"/>
              </w:rPr>
              <w:t xml:space="preserve"> i </w:t>
            </w:r>
            <w:r w:rsidRPr="00781CEC">
              <w:rPr>
                <w:rFonts w:cs="Times New Roman"/>
                <w:i/>
                <w:iCs/>
                <w:sz w:val="16"/>
                <w:szCs w:val="16"/>
              </w:rPr>
              <w:t>praca</w:t>
            </w:r>
            <w:r w:rsidRPr="00781CEC">
              <w:rPr>
                <w:rFonts w:cs="Times New Roman"/>
                <w:sz w:val="16"/>
                <w:szCs w:val="16"/>
              </w:rPr>
              <w:t xml:space="preserve"> w sytuacjach typowych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lastRenderedPageBreak/>
              <w:t>wyjaśnia zależność między energią wewnętrzną i wykonaną pracą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 xml:space="preserve">odróżnia energię, ciepło i pracę </w:t>
            </w:r>
            <w:r w:rsidRPr="00781CE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w określonych sytuacjach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opisuje zjawiska życia codziennego za pomocą pojęć </w:t>
            </w:r>
            <w:r w:rsidRPr="00781CEC">
              <w:rPr>
                <w:rFonts w:cs="Times New Roman"/>
                <w:i/>
                <w:iCs/>
                <w:sz w:val="16"/>
                <w:szCs w:val="16"/>
              </w:rPr>
              <w:t>energia</w:t>
            </w:r>
            <w:r w:rsidRPr="00781CEC">
              <w:rPr>
                <w:rFonts w:cs="Times New Roman"/>
                <w:sz w:val="16"/>
                <w:szCs w:val="16"/>
              </w:rPr>
              <w:t xml:space="preserve">, </w:t>
            </w:r>
            <w:r w:rsidRPr="00781CEC">
              <w:rPr>
                <w:rFonts w:cs="Times New Roman"/>
                <w:i/>
                <w:iCs/>
                <w:sz w:val="16"/>
                <w:szCs w:val="16"/>
              </w:rPr>
              <w:t>ciepło</w:t>
            </w:r>
            <w:r w:rsidRPr="00781CEC">
              <w:rPr>
                <w:rFonts w:cs="Times New Roman"/>
                <w:sz w:val="16"/>
                <w:szCs w:val="16"/>
              </w:rPr>
              <w:t xml:space="preserve"> i </w:t>
            </w:r>
            <w:r w:rsidRPr="00781CEC">
              <w:rPr>
                <w:rFonts w:cs="Times New Roman"/>
                <w:i/>
                <w:iCs/>
                <w:sz w:val="16"/>
                <w:szCs w:val="16"/>
              </w:rPr>
              <w:t>praca</w:t>
            </w:r>
            <w:r w:rsidRPr="00781CEC">
              <w:rPr>
                <w:rFonts w:cs="Times New Roman"/>
                <w:sz w:val="16"/>
                <w:szCs w:val="16"/>
              </w:rPr>
              <w:t xml:space="preserve"> w sytuacjach problemowych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rozwiązuje zadania problemowe wykraczające poza wymagania dopełniające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numPr>
                <w:ilvl w:val="1"/>
                <w:numId w:val="15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lastRenderedPageBreak/>
              <w:t>Przekazywanie ciepła przy ogrzewaniu i oziębianiu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przewodnictwo cieplne, konwekcję i promieniowanie cieplne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ciepło właściwe i podaje jego jednostkę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podaje przykłady występowania i wykorzystania przewodnictwa cieplnego, konwekcji i promieniowania cieplnego w życiu codziennym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zapisuje zależność pomiędzy ciepłem dostarczonym lub pobranym z substancji a jej temperaturą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ciepło właściwe jako zdolność ciała do zmiany temperatury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wykorzystuje ciepło właściwe do opisu zjawisk w sytuacjach typowych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wykorzystuje zależność pomiędzy ciepłem dostarczonym lub pobranym z substancji a jej temperaturą w sytuacjach typowych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wykorzystuje ciepło właściwe do opisu zjawisk w sytuacjach problemowych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wykorzystuje zależność pomiędzy ciepłem dostarczonym lub pobranym z substancji a jej temperaturą w sytuacjach problemowych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numPr>
                <w:ilvl w:val="1"/>
                <w:numId w:val="15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t>Przekazywanie ciepła przy parowaniu i topnieniu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definiuje topnienie i krzepniecie 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definiuje parowanie i skraplanie 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opisuje zjawiska topnienia i krzepnięcia 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opisuje zjawiska parowania i skraplania 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zjawisko wrzenia, odróżniania wrzenie od parowania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temperaturę wrzenia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opisuje topnienie i krzepniecie za pomocą pojęć </w:t>
            </w:r>
            <w:r w:rsidRPr="00781CEC">
              <w:rPr>
                <w:rFonts w:cs="Times New Roman"/>
                <w:i/>
                <w:iCs/>
                <w:sz w:val="16"/>
                <w:szCs w:val="16"/>
              </w:rPr>
              <w:t>temperatura topnienia</w:t>
            </w:r>
            <w:r w:rsidRPr="00781CEC">
              <w:rPr>
                <w:rFonts w:cs="Times New Roman"/>
                <w:sz w:val="16"/>
                <w:szCs w:val="16"/>
              </w:rPr>
              <w:t xml:space="preserve"> i </w:t>
            </w:r>
            <w:r w:rsidRPr="00781CEC">
              <w:rPr>
                <w:rFonts w:cs="Times New Roman"/>
                <w:i/>
                <w:iCs/>
                <w:sz w:val="16"/>
                <w:szCs w:val="16"/>
              </w:rPr>
              <w:t>ciepło topnienia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opisuje parowanie i skraplanie za pomocą pojęcia </w:t>
            </w:r>
            <w:r w:rsidRPr="00781CEC">
              <w:rPr>
                <w:rFonts w:cs="Times New Roman"/>
                <w:i/>
                <w:iCs/>
                <w:sz w:val="16"/>
                <w:szCs w:val="16"/>
              </w:rPr>
              <w:t>ciepło parowania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wrzenie za pomocą temperatury wrzenia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korzysta z ciepła przemiany fazowej w sytuacjach typowych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przedstawia na wykresie zależności temperatury od ciepła pobranego oraz proces zmiany stanów skupienia wody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korzysta z ciepła przemiany fazowej w sytuacjach problemowych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wyjaśnia zasadę działania chłodziarki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rozumie zależność temperatury wrzenia i krzepnięcia od ciśnienia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formułuje i wykorzystuje zasadę bilansu cieplnego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numPr>
                <w:ilvl w:val="1"/>
                <w:numId w:val="15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t>Przemiana energii wewnętrznej w energię mechaniczną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definiuje silnik cieplny 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definiuje pojęcie </w:t>
            </w:r>
            <w:r w:rsidRPr="00781CEC">
              <w:rPr>
                <w:rFonts w:cs="Times New Roman"/>
                <w:i/>
                <w:iCs/>
                <w:sz w:val="16"/>
                <w:szCs w:val="16"/>
              </w:rPr>
              <w:t>wartość energetyczna</w:t>
            </w:r>
            <w:r w:rsidRPr="00781CEC">
              <w:rPr>
                <w:rFonts w:cs="Times New Roman"/>
                <w:sz w:val="16"/>
                <w:szCs w:val="16"/>
              </w:rPr>
              <w:t xml:space="preserve"> i wymienia jej jednostki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definiuje pojęcie </w:t>
            </w:r>
            <w:r w:rsidRPr="00781CEC">
              <w:rPr>
                <w:rFonts w:cs="Times New Roman"/>
                <w:i/>
                <w:iCs/>
                <w:sz w:val="16"/>
                <w:szCs w:val="16"/>
              </w:rPr>
              <w:t>ciepło spalania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wartość energetyczną żywności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działanie silnika cieplnego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podaje wartości energetyczne wybranych paliw i żywności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znaczenie wartości energetycznej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wykorzystuje I zasadę termodynamiki do opisu zjawisk w sytuacjach typowych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działanie silnika cieplnego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korzysta z wartości energetycznej paliw i żywności w sytuacjach życia codziennego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wykorzystuje I zasadę termodynamiki do opisu zjawisk w sytuacjach problemowych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i oblicza sprawność silnika cieplnego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781CEC" w:rsidRPr="00781CEC" w:rsidTr="0036213F">
        <w:tc>
          <w:tcPr>
            <w:tcW w:w="5000" w:type="pct"/>
            <w:gridSpan w:val="6"/>
          </w:tcPr>
          <w:p w:rsidR="00781CEC" w:rsidRPr="00781CEC" w:rsidRDefault="00781CEC" w:rsidP="00781CEC">
            <w:pPr>
              <w:ind w:left="426" w:hanging="426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Moduł fakultatywny B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spacing w:line="240" w:lineRule="auto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t>B.3. Silniki cieplne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formułuje I zasadę termodynamiki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lastRenderedPageBreak/>
              <w:t>definiuje silnik cieplny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lastRenderedPageBreak/>
              <w:t xml:space="preserve">korzysta z podstawowych pojęć termodynamiki do opisu zjawisk w sytuacjach </w:t>
            </w:r>
            <w:r w:rsidRPr="00781CEC">
              <w:rPr>
                <w:rFonts w:cs="Times New Roman"/>
                <w:sz w:val="16"/>
                <w:szCs w:val="16"/>
              </w:rPr>
              <w:lastRenderedPageBreak/>
              <w:t>typowych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wymienia przykłady silników cieplnych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lastRenderedPageBreak/>
              <w:t>wyjaśnia zasadę działania silnika cieplnego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lastRenderedPageBreak/>
              <w:t>wyjaśnia zasadę zdziałania silników spalinowych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lastRenderedPageBreak/>
              <w:t xml:space="preserve">korzysta z podstawowych pojęć termodynamiki do opisu zjawisk w sytuacjach </w:t>
            </w:r>
            <w:r w:rsidRPr="00781CEC">
              <w:rPr>
                <w:rFonts w:cs="Times New Roman"/>
                <w:sz w:val="16"/>
                <w:szCs w:val="16"/>
              </w:rPr>
              <w:lastRenderedPageBreak/>
              <w:t>problemowych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zasadę działania silników turbinowych i odrzutowych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opisuje wpływ wynalezienia silnika spalinowego na rozwój techniki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zna rzędy wielkości sprawności współczesnych silników cieplnych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781CEC" w:rsidRPr="00781CEC" w:rsidTr="0036213F">
        <w:tc>
          <w:tcPr>
            <w:tcW w:w="4997" w:type="pct"/>
            <w:gridSpan w:val="6"/>
          </w:tcPr>
          <w:p w:rsidR="00781CEC" w:rsidRPr="00781CEC" w:rsidRDefault="00781CEC" w:rsidP="00781CE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Moduł fakultatywny C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spacing w:line="240" w:lineRule="auto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t>C.1. Fizyka w sporcie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wpływ wiedzy z dziedziny fizyki na wyniki w sporcie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znaczenie wiedzy z zakresu fizyki w wyposażeniu sportowym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wymienia wielkości fizyczne opisujące skoki narciarskie i skoki o tyczce oraz zna rzędy ich wielkości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wymienia wielkości i pojęcia fizyczne opisujące ruch piłki 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wymienia zjawiska i wielkości fizyczne opisujące pływanie 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opisuje skoki narciarskie i skoki o tyczce, korzystając z podstawowych pojęć mechaniki 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ruch piłki, korzystając z podstawowych pojęć mechaniki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pływanie, korzystając z prawa Archimedesa oraz podstawowych pojęć mechaniki i termodynamiki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uwzględnia siłę tarcia i siły oporu ruchu do opisu zjawisk w sporcie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ruch piłki i skok jako rzut ukośny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znaczenie wilgotności powietrza w sporcie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opisuje wpływ warunków atmosferycznych na wyniki sportowe, korzystając z pojęć fizyki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opisuje działanie siły nośnej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opisuje znaczenie zasolenia wody dla pływalności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spacing w:line="240" w:lineRule="auto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t>C.2. Fizyka w domu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wymienia instalacje i urządzenia gospodarstwa domowego, których działanie opiera się na prawach fizycznych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dostrzega zjawiska fizyczne w życiu codziennym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domową instalację elektryczną, instalację grzewczą, instalację wentylacyjną oraz instalację odgromową za pomocą pojęć fizycznych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opisuje zjawiska fizyczne w życiu codziennym 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działanie kuchenki mikrofalowej i płyty indukcyjnej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wykorzystuje wiedzę i terminologię naukową do opisu zjawisk życia codziennego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działanie kuchenki mikrofalowej i płyty indukcyjnej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781CEC" w:rsidRPr="00781CEC" w:rsidTr="0036213F">
        <w:tc>
          <w:tcPr>
            <w:tcW w:w="4997" w:type="pct"/>
            <w:gridSpan w:val="6"/>
          </w:tcPr>
          <w:p w:rsidR="00781CEC" w:rsidRPr="00781CEC" w:rsidRDefault="00781CEC" w:rsidP="00781CE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Moduł fakultatywny D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spacing w:line="240" w:lineRule="auto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t>D.1. Elementy elektroniki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wymienia założenia pasmowej teorii przewodnictwa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wymienia nośniki prądu w półprzewodnikach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bramkę logiczną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znaczenie układów scalonych i procesorów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założenia pasmowej teorii przewodnictwa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zjawisko półprzewodnictwa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przepływ nośników prądu w półprzewodnikach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wymienia podstawowe bramki logiczne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wymienia zastosowania układów scalonych i tranzystorów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zjawisko półprzewodnictwa domieszkowego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opisuje złącza </w:t>
            </w:r>
            <w:proofErr w:type="spellStart"/>
            <w:r w:rsidRPr="00781CEC">
              <w:rPr>
                <w:rFonts w:cs="Times New Roman"/>
                <w:sz w:val="16"/>
                <w:szCs w:val="16"/>
              </w:rPr>
              <w:t>p-n</w:t>
            </w:r>
            <w:proofErr w:type="spellEnd"/>
            <w:r w:rsidRPr="00781CEC">
              <w:rPr>
                <w:rFonts w:cs="Times New Roman"/>
                <w:sz w:val="16"/>
                <w:szCs w:val="16"/>
              </w:rPr>
              <w:t xml:space="preserve">, </w:t>
            </w:r>
            <w:proofErr w:type="spellStart"/>
            <w:r w:rsidRPr="00781CEC">
              <w:rPr>
                <w:rFonts w:cs="Times New Roman"/>
                <w:sz w:val="16"/>
                <w:szCs w:val="16"/>
              </w:rPr>
              <w:t>p-n-p</w:t>
            </w:r>
            <w:proofErr w:type="spellEnd"/>
            <w:r w:rsidRPr="00781CEC">
              <w:rPr>
                <w:rFonts w:cs="Times New Roman"/>
                <w:sz w:val="16"/>
                <w:szCs w:val="16"/>
              </w:rPr>
              <w:t xml:space="preserve"> i </w:t>
            </w:r>
            <w:proofErr w:type="spellStart"/>
            <w:r w:rsidRPr="00781CEC">
              <w:rPr>
                <w:rFonts w:cs="Times New Roman"/>
                <w:sz w:val="16"/>
                <w:szCs w:val="16"/>
              </w:rPr>
              <w:t>n-p-n</w:t>
            </w:r>
            <w:proofErr w:type="spellEnd"/>
            <w:r w:rsidRPr="00781CEC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budowę diody półprzewodnikowej i tranzystora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zapisuje tablice prawdy podstawowych bramek logicznych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zjawisko półprzewodnictwa i półprzewodnictwa domieszkowego za pomocą pojęć pasmowej teorii przewodnictwa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zasadę działania diody półprzewodnikowej i tranzystora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wykonuje proste działania logiczne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wyjaśnia zasadę działania diody półprzewodnikowej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 xml:space="preserve">korzysta podstawowych pojęć algebry </w:t>
            </w:r>
            <w:proofErr w:type="spellStart"/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Boole’a</w:t>
            </w:r>
            <w:proofErr w:type="spellEnd"/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spacing w:line="240" w:lineRule="auto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t>D.2. Właściwości magnetyczne materiałów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ferromagnetyki, diamagnetyki i paramagnetyki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wymienia przykłady magnetycznych nośników danych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podaje przykłady ferromagnetyków, diamagnetyków i paramagnetyków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własności magnetyczne ferromagnetyków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wymienia wady i zalety magnetycznych nośników danych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znaczenie własności magnetycznych substancji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własności magnetyczne ferromagnetyków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wpływ materiału na pole magnetyczne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metody zapisu danych na nośniku magnetycznym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wpływ materiału na pole magnetyczne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metody zapisu danych na nośniku magnetycznym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wyjaśnia metodę zapisu danych na płycie CD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rysuje i omawia pętlę histerezy dla ferromagnetyków oraz wyjaśnia znaczenie punktu Curie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spacing w:line="240" w:lineRule="auto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lastRenderedPageBreak/>
              <w:t>D.3. Fale radiowe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rozumie, że fale radiowe są falami elektromagnetycznymi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zjawisko rezonansu elektromagnetycznego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zna wartość prędkości światła, rozumie, że jest to prędkość wszystkich fal elektromagnetycznych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fale radiowe jako fale elektromagnetyczne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zapisuje zależność długości fali elektromagnetycznej od jej częstotliwości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widmo fal elektromagnetycznych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wyjaśnia pojęcie modulacji fal radiowych 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znaczenie fal radiowych w technice i życiu codziennym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wpływ fal radiowych na zdrowie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zasadę działania układu drgającego LC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zjawisko rezonansu elektromagnetycznego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korzysta z zależności długości fali elektromagnetycznej od jej częstotliwości w sytuacjach typowych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opisuje pole elektromagnetyczne jako złożenie pól elektrycznego i magnetycznego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korzysta z zależności długości fali elektromagnetycznej od jej częstotliwości w sytuacjach problemowych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wyjaśnia znaczenie modulacji fal radiowych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17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posługuje się pojęciem indukcyjności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17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781CEC" w:rsidRPr="00781CEC" w:rsidTr="0036213F">
        <w:tc>
          <w:tcPr>
            <w:tcW w:w="4997" w:type="pct"/>
            <w:gridSpan w:val="6"/>
          </w:tcPr>
          <w:p w:rsidR="00781CEC" w:rsidRPr="00781CEC" w:rsidRDefault="00781CEC" w:rsidP="00781CE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Moduł fakultatywny E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spacing w:line="240" w:lineRule="auto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t>E.1. Własności materii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wymienia stany skupienia 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pojęcia sprężystości i plastyczności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  <w:highlight w:val="yellow"/>
              </w:rPr>
            </w:pPr>
            <w:r w:rsidRPr="00781CEC">
              <w:rPr>
                <w:rFonts w:cs="Times New Roman"/>
                <w:sz w:val="16"/>
                <w:szCs w:val="16"/>
                <w:highlight w:val="yellow"/>
              </w:rPr>
              <w:t xml:space="preserve">formułuje prawo </w:t>
            </w:r>
            <w:proofErr w:type="spellStart"/>
            <w:r w:rsidRPr="00781CEC">
              <w:rPr>
                <w:rFonts w:cs="Times New Roman"/>
                <w:sz w:val="16"/>
                <w:szCs w:val="16"/>
                <w:highlight w:val="yellow"/>
              </w:rPr>
              <w:t>Hooke’a</w:t>
            </w:r>
            <w:proofErr w:type="spellEnd"/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naprężenie wewnętrzne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definiuje moduł Younga 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granicę wytrzymałości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współczynnik przewodnictwa cieplnego i opisuje jego znaczenie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opisuje stany skupienia 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pojęcia sprężystości i plastyczności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podział ciał stałych ze względu na własności sprężyste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formułuje prawo przewodnictwa cieplnego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podział materiałów ze względu na przewodnictwo elektryczne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podział materiałów ze względu na własności magnetyczne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mechanizm rozszerzalności cieplnej materiałów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wyjaśnia znaczenie modułu Younga 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  <w:highlight w:val="yellow"/>
              </w:rPr>
              <w:t xml:space="preserve">korzysta z prawa </w:t>
            </w:r>
            <w:proofErr w:type="spellStart"/>
            <w:r w:rsidRPr="00781CEC">
              <w:rPr>
                <w:rFonts w:cs="Times New Roman"/>
                <w:sz w:val="16"/>
                <w:szCs w:val="16"/>
                <w:highlight w:val="yellow"/>
              </w:rPr>
              <w:t>Hooke’a</w:t>
            </w:r>
            <w:proofErr w:type="spellEnd"/>
            <w:r w:rsidRPr="00781CEC">
              <w:rPr>
                <w:rFonts w:cs="Times New Roman"/>
                <w:sz w:val="16"/>
                <w:szCs w:val="16"/>
                <w:highlight w:val="yellow"/>
              </w:rPr>
              <w:t xml:space="preserve"> w sytuacjach typowych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podział materiałów ze względu na przewodnictwo cieplne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korzysta z prawa przewodnictwa cieplnego w sytuacjach typowych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  <w:highlight w:val="yellow"/>
              </w:rPr>
            </w:pPr>
            <w:r w:rsidRPr="00781CEC">
              <w:rPr>
                <w:rFonts w:cs="Times New Roman"/>
                <w:sz w:val="16"/>
                <w:szCs w:val="16"/>
                <w:highlight w:val="yellow"/>
              </w:rPr>
              <w:t xml:space="preserve">korzysta z prawa </w:t>
            </w:r>
            <w:proofErr w:type="spellStart"/>
            <w:r w:rsidRPr="00781CEC">
              <w:rPr>
                <w:rFonts w:cs="Times New Roman"/>
                <w:sz w:val="16"/>
                <w:szCs w:val="16"/>
                <w:highlight w:val="yellow"/>
              </w:rPr>
              <w:t>Hooke’a</w:t>
            </w:r>
            <w:proofErr w:type="spellEnd"/>
            <w:r w:rsidRPr="00781CEC">
              <w:rPr>
                <w:rFonts w:cs="Times New Roman"/>
                <w:sz w:val="16"/>
                <w:szCs w:val="16"/>
                <w:highlight w:val="yellow"/>
              </w:rPr>
              <w:t xml:space="preserve"> w sytuacjach problemowych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znaczenie granicy wytrzymałości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korzysta z prawa przewodnictwa cieplnego w sytuacjach problemowych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wytrzymałość na rozciąganie, ściskanie, zginanie, ścinanie, skręcanie oraz docisk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metody badania wytrzymałości materiałów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781CEC" w:rsidRPr="00781CEC" w:rsidTr="0036213F">
        <w:tc>
          <w:tcPr>
            <w:tcW w:w="676" w:type="pct"/>
          </w:tcPr>
          <w:p w:rsidR="00781CEC" w:rsidRPr="00781CEC" w:rsidRDefault="00781CEC" w:rsidP="00781CEC">
            <w:pPr>
              <w:pStyle w:val="Tekstglowny"/>
              <w:spacing w:line="240" w:lineRule="auto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781CEC">
              <w:rPr>
                <w:rStyle w:val="Bold"/>
                <w:rFonts w:cs="Times New Roman"/>
                <w:sz w:val="16"/>
                <w:szCs w:val="16"/>
              </w:rPr>
              <w:t>E.2. Budowa materii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wymienia główne założenia kinetyczno-molekularnej teorii budowy materii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definiuje plazmę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wymienia odmiany węgla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wpływ temperatury na stan skupienia i właściwości materii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 xml:space="preserve">definiuje zjawisko nadprzewodnictwa 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główne założenia kinetyczno-molekularnej teorii budowy materii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wymienia warunki powstania plazmy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zastosowania różnych odmian węgla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zastosowania zjawiska nadprzewodnictwa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budowę ciał stałych krystalicznych i bezpostaciowych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wpływ temperatury na sieć krystaliczną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budowę i właściwości różnych odmian węgla</w:t>
            </w:r>
          </w:p>
          <w:p w:rsidR="00781CEC" w:rsidRPr="00781CEC" w:rsidRDefault="00781CEC" w:rsidP="00781CEC">
            <w:pPr>
              <w:pStyle w:val="Wypunktowanie"/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opisuje znaczenie zjawiska nadprzewodnictwa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pojęcie anizotropii</w:t>
            </w:r>
          </w:p>
          <w:p w:rsidR="00781CEC" w:rsidRPr="00781CEC" w:rsidRDefault="00781CEC" w:rsidP="00781CEC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227" w:hanging="170"/>
              <w:jc w:val="left"/>
              <w:rPr>
                <w:rFonts w:cs="Times New Roman"/>
                <w:sz w:val="16"/>
                <w:szCs w:val="16"/>
              </w:rPr>
            </w:pPr>
            <w:r w:rsidRPr="00781CEC">
              <w:rPr>
                <w:rFonts w:cs="Times New Roman"/>
                <w:sz w:val="16"/>
                <w:szCs w:val="16"/>
              </w:rPr>
              <w:t>wyjaśnia znaczenie sieci krystalicznej</w:t>
            </w:r>
          </w:p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opisuje zjawisko nadprzewodnictwa</w:t>
            </w:r>
          </w:p>
        </w:tc>
        <w:tc>
          <w:tcPr>
            <w:tcW w:w="864" w:type="pct"/>
          </w:tcPr>
          <w:p w:rsidR="00781CEC" w:rsidRPr="00781CEC" w:rsidRDefault="00781CEC" w:rsidP="00781CEC">
            <w:pPr>
              <w:pStyle w:val="Akapitzlist"/>
              <w:numPr>
                <w:ilvl w:val="0"/>
                <w:numId w:val="5"/>
              </w:numPr>
              <w:ind w:left="227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781CEC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</w:tbl>
    <w:p w:rsidR="00424EC5" w:rsidRPr="00781CEC" w:rsidRDefault="00C77A8F">
      <w:pPr>
        <w:rPr>
          <w:rFonts w:ascii="Times New Roman" w:hAnsi="Times New Roman" w:cs="Times New Roman"/>
          <w:sz w:val="24"/>
          <w:szCs w:val="24"/>
        </w:rPr>
      </w:pPr>
    </w:p>
    <w:sectPr w:rsidR="00424EC5" w:rsidRPr="00781CEC" w:rsidSect="00781CE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938D3"/>
    <w:multiLevelType w:val="hybridMultilevel"/>
    <w:tmpl w:val="5C56B9A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C252358"/>
    <w:multiLevelType w:val="hybridMultilevel"/>
    <w:tmpl w:val="4FE229DC"/>
    <w:lvl w:ilvl="0" w:tplc="321E3396">
      <w:start w:val="1"/>
      <w:numFmt w:val="decimal"/>
      <w:lvlText w:val="3.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25A39"/>
    <w:multiLevelType w:val="hybridMultilevel"/>
    <w:tmpl w:val="13306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17284"/>
    <w:multiLevelType w:val="hybridMultilevel"/>
    <w:tmpl w:val="0D8C132C"/>
    <w:lvl w:ilvl="0" w:tplc="5B9C0262">
      <w:start w:val="1"/>
      <w:numFmt w:val="decimal"/>
      <w:lvlText w:val="1.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25B49"/>
    <w:multiLevelType w:val="hybridMultilevel"/>
    <w:tmpl w:val="2C4E3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4514F"/>
    <w:multiLevelType w:val="hybridMultilevel"/>
    <w:tmpl w:val="38EAEF3A"/>
    <w:lvl w:ilvl="0" w:tplc="869C8E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7711F"/>
    <w:multiLevelType w:val="hybridMultilevel"/>
    <w:tmpl w:val="F19C7FC8"/>
    <w:lvl w:ilvl="0" w:tplc="0415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7">
    <w:nsid w:val="37A97CBC"/>
    <w:multiLevelType w:val="hybridMultilevel"/>
    <w:tmpl w:val="27ECECCC"/>
    <w:lvl w:ilvl="0" w:tplc="D910B930">
      <w:start w:val="1"/>
      <w:numFmt w:val="bullet"/>
      <w:pStyle w:val="Wypunktowanie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55234D"/>
    <w:multiLevelType w:val="multilevel"/>
    <w:tmpl w:val="9558FA36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theme="minorBidi" w:hint="default"/>
      </w:rPr>
    </w:lvl>
    <w:lvl w:ilvl="1">
      <w:start w:val="2"/>
      <w:numFmt w:val="decimal"/>
      <w:lvlText w:val="%1.%2."/>
      <w:lvlJc w:val="left"/>
      <w:pPr>
        <w:ind w:left="2345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ascii="Times New Roman" w:hAnsi="Times New Roman" w:cstheme="minorBidi" w:hint="default"/>
      </w:rPr>
    </w:lvl>
    <w:lvl w:ilvl="3">
      <w:start w:val="1"/>
      <w:numFmt w:val="decimal"/>
      <w:lvlText w:val="%1.%2.%3.%4."/>
      <w:lvlJc w:val="left"/>
      <w:pPr>
        <w:ind w:left="6675" w:hanging="720"/>
      </w:pPr>
      <w:rPr>
        <w:rFonts w:ascii="Times New Roman" w:hAnsi="Times New Roman" w:cstheme="minorBidi" w:hint="default"/>
      </w:rPr>
    </w:lvl>
    <w:lvl w:ilvl="4">
      <w:start w:val="1"/>
      <w:numFmt w:val="decimal"/>
      <w:lvlText w:val="%1.%2.%3.%4.%5."/>
      <w:lvlJc w:val="left"/>
      <w:pPr>
        <w:ind w:left="9020" w:hanging="1080"/>
      </w:pPr>
      <w:rPr>
        <w:rFonts w:ascii="Times New Roman" w:hAnsi="Times New Roman" w:cstheme="minorBidi" w:hint="default"/>
      </w:rPr>
    </w:lvl>
    <w:lvl w:ilvl="5">
      <w:start w:val="1"/>
      <w:numFmt w:val="decimal"/>
      <w:lvlText w:val="%1.%2.%3.%4.%5.%6."/>
      <w:lvlJc w:val="left"/>
      <w:pPr>
        <w:ind w:left="11005" w:hanging="1080"/>
      </w:pPr>
      <w:rPr>
        <w:rFonts w:ascii="Times New Roman" w:hAnsi="Times New Roman" w:cstheme="minorBidi" w:hint="default"/>
      </w:rPr>
    </w:lvl>
    <w:lvl w:ilvl="6">
      <w:start w:val="1"/>
      <w:numFmt w:val="decimal"/>
      <w:lvlText w:val="%1.%2.%3.%4.%5.%6.%7."/>
      <w:lvlJc w:val="left"/>
      <w:pPr>
        <w:ind w:left="12990" w:hanging="1080"/>
      </w:pPr>
      <w:rPr>
        <w:rFonts w:ascii="Times New Roman" w:hAnsi="Times New Roman" w:cstheme="minorBidi" w:hint="default"/>
      </w:rPr>
    </w:lvl>
    <w:lvl w:ilvl="7">
      <w:start w:val="1"/>
      <w:numFmt w:val="decimal"/>
      <w:lvlText w:val="%1.%2.%3.%4.%5.%6.%7.%8."/>
      <w:lvlJc w:val="left"/>
      <w:pPr>
        <w:ind w:left="15335" w:hanging="1440"/>
      </w:pPr>
      <w:rPr>
        <w:rFonts w:ascii="Times New Roman" w:hAnsi="Times New Roman" w:cstheme="minorBidi" w:hint="default"/>
      </w:rPr>
    </w:lvl>
    <w:lvl w:ilvl="8">
      <w:start w:val="1"/>
      <w:numFmt w:val="decimal"/>
      <w:lvlText w:val="%1.%2.%3.%4.%5.%6.%7.%8.%9."/>
      <w:lvlJc w:val="left"/>
      <w:pPr>
        <w:ind w:left="17320" w:hanging="1440"/>
      </w:pPr>
      <w:rPr>
        <w:rFonts w:ascii="Times New Roman" w:hAnsi="Times New Roman" w:cstheme="minorBidi" w:hint="default"/>
      </w:rPr>
    </w:lvl>
  </w:abstractNum>
  <w:abstractNum w:abstractNumId="9">
    <w:nsid w:val="45B20935"/>
    <w:multiLevelType w:val="hybridMultilevel"/>
    <w:tmpl w:val="BADAD7E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52E7255D"/>
    <w:multiLevelType w:val="hybridMultilevel"/>
    <w:tmpl w:val="208E3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D96F17"/>
    <w:multiLevelType w:val="hybridMultilevel"/>
    <w:tmpl w:val="61184C42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>
    <w:nsid w:val="684917B3"/>
    <w:multiLevelType w:val="hybridMultilevel"/>
    <w:tmpl w:val="38AA2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4C0F46"/>
    <w:multiLevelType w:val="hybridMultilevel"/>
    <w:tmpl w:val="44FA9F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510062"/>
    <w:multiLevelType w:val="hybridMultilevel"/>
    <w:tmpl w:val="6BEA91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DE61D8"/>
    <w:multiLevelType w:val="hybridMultilevel"/>
    <w:tmpl w:val="B5C24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6464B5"/>
    <w:multiLevelType w:val="hybridMultilevel"/>
    <w:tmpl w:val="8EDC2F00"/>
    <w:lvl w:ilvl="0" w:tplc="0E925DAC">
      <w:start w:val="1"/>
      <w:numFmt w:val="decimal"/>
      <w:lvlText w:val="4.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3"/>
  </w:num>
  <w:num w:numId="7">
    <w:abstractNumId w:val="5"/>
  </w:num>
  <w:num w:numId="8">
    <w:abstractNumId w:val="1"/>
  </w:num>
  <w:num w:numId="9">
    <w:abstractNumId w:val="4"/>
  </w:num>
  <w:num w:numId="10">
    <w:abstractNumId w:val="2"/>
  </w:num>
  <w:num w:numId="11">
    <w:abstractNumId w:val="0"/>
  </w:num>
  <w:num w:numId="12">
    <w:abstractNumId w:val="9"/>
  </w:num>
  <w:num w:numId="13">
    <w:abstractNumId w:val="10"/>
  </w:num>
  <w:num w:numId="14">
    <w:abstractNumId w:val="16"/>
  </w:num>
  <w:num w:numId="15">
    <w:abstractNumId w:val="8"/>
  </w:num>
  <w:num w:numId="16">
    <w:abstractNumId w:val="15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81CEC"/>
    <w:rsid w:val="00037478"/>
    <w:rsid w:val="001476CC"/>
    <w:rsid w:val="00194248"/>
    <w:rsid w:val="00726AF3"/>
    <w:rsid w:val="00781CEC"/>
    <w:rsid w:val="00AC0E12"/>
    <w:rsid w:val="00BE1B5A"/>
    <w:rsid w:val="00C77A8F"/>
    <w:rsid w:val="00DB5A7A"/>
    <w:rsid w:val="00ED5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1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781CEC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 w:cs="Book Antiqua"/>
      <w:sz w:val="17"/>
      <w:szCs w:val="17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81CEC"/>
    <w:rPr>
      <w:rFonts w:ascii="Book Antiqua" w:eastAsiaTheme="minorEastAsia" w:hAnsi="Book Antiqua" w:cs="Book Antiqua"/>
      <w:sz w:val="17"/>
      <w:szCs w:val="17"/>
      <w:lang w:eastAsia="pl-PL"/>
    </w:rPr>
  </w:style>
  <w:style w:type="table" w:styleId="Tabela-Siatka">
    <w:name w:val="Table Grid"/>
    <w:basedOn w:val="Standardowy"/>
    <w:uiPriority w:val="59"/>
    <w:rsid w:val="0078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81CEC"/>
    <w:pPr>
      <w:ind w:left="720"/>
      <w:contextualSpacing/>
    </w:pPr>
  </w:style>
  <w:style w:type="character" w:customStyle="1" w:styleId="Bold">
    <w:name w:val="!_Bold"/>
    <w:basedOn w:val="Domylnaczcionkaakapitu"/>
    <w:uiPriority w:val="1"/>
    <w:qFormat/>
    <w:rsid w:val="00781CEC"/>
    <w:rPr>
      <w:b/>
      <w:bCs/>
    </w:rPr>
  </w:style>
  <w:style w:type="paragraph" w:customStyle="1" w:styleId="Tekstglowny">
    <w:name w:val="!_Tekst_glowny"/>
    <w:qFormat/>
    <w:rsid w:val="00781CEC"/>
    <w:pPr>
      <w:spacing w:after="0" w:line="260" w:lineRule="atLeast"/>
      <w:jc w:val="both"/>
    </w:pPr>
    <w:rPr>
      <w:rFonts w:ascii="Times New Roman" w:hAnsi="Times New Roman"/>
      <w:sz w:val="20"/>
    </w:rPr>
  </w:style>
  <w:style w:type="paragraph" w:customStyle="1" w:styleId="Wypunktowanie">
    <w:name w:val="!_Wypunktowanie"/>
    <w:basedOn w:val="Tekstglowny"/>
    <w:qFormat/>
    <w:rsid w:val="00781CEC"/>
    <w:pPr>
      <w:numPr>
        <w:numId w:val="1"/>
      </w:numPr>
      <w:spacing w:line="280" w:lineRule="atLeas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3021</Words>
  <Characters>18132</Characters>
  <Application>Microsoft Office Word</Application>
  <DocSecurity>0</DocSecurity>
  <Lines>151</Lines>
  <Paragraphs>42</Paragraphs>
  <ScaleCrop>false</ScaleCrop>
  <Company/>
  <LinksUpToDate>false</LinksUpToDate>
  <CharactersWithSpaces>21111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tocka</dc:creator>
  <cp:lastModifiedBy>tocka</cp:lastModifiedBy>
  <cp:revision>3</cp:revision>
  <dcterms:created xsi:type="dcterms:W3CDTF">2025-03-02T16:35:00Z</dcterms:created>
  <dcterms:modified xsi:type="dcterms:W3CDTF">2025-06-26T03:21:00Z</dcterms:modified>
</cp:coreProperties>
</file>