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 w:before="120" w:after="120"/>
        <w:jc w:val="both"/>
        <w:rPr>
          <w:rFonts w:ascii="Cambria" w:hAnsi="Cambria" w:asciiTheme="majorHAnsi" w:hAnsiTheme="majorHAnsi"/>
          <w:b/>
          <w:b/>
        </w:rPr>
      </w:pPr>
      <w:r>
        <w:rPr>
          <w:rFonts w:asciiTheme="majorHAnsi" w:hAnsiTheme="majorHAnsi" w:ascii="Cambria" w:hAnsi="Cambria"/>
          <w:b/>
        </w:rPr>
      </w:r>
    </w:p>
    <w:p>
      <w:pPr>
        <w:pStyle w:val="Normal"/>
        <w:spacing w:lineRule="auto" w:line="276" w:before="120" w:after="120"/>
        <w:jc w:val="both"/>
        <w:rPr>
          <w:rFonts w:ascii="Cambria" w:hAnsi="Cambria" w:cs="Calibri" w:asciiTheme="majorHAnsi" w:hAnsiTheme="majorHAnsi"/>
          <w:b/>
          <w:b/>
          <w:sz w:val="28"/>
          <w:szCs w:val="28"/>
        </w:rPr>
      </w:pPr>
      <w:r>
        <w:rPr>
          <w:rFonts w:cs="Calibri" w:ascii="Cambria" w:hAnsi="Cambria"/>
          <w:b/>
          <w:sz w:val="28"/>
          <w:szCs w:val="28"/>
        </w:rPr>
      </w:r>
    </w:p>
    <w:p>
      <w:pPr>
        <w:pStyle w:val="Normal"/>
        <w:spacing w:lineRule="auto" w:line="276" w:before="120" w:after="120"/>
        <w:jc w:val="both"/>
        <w:rPr>
          <w:rFonts w:ascii="Cambria" w:hAnsi="Cambria" w:cs="Calibri" w:asciiTheme="majorHAnsi" w:hAnsiTheme="majorHAnsi"/>
          <w:b/>
          <w:b/>
          <w:sz w:val="28"/>
          <w:szCs w:val="28"/>
        </w:rPr>
      </w:pPr>
      <w:r>
        <w:rPr>
          <w:rFonts w:cs="Calibri" w:ascii="Cambria" w:hAnsi="Cambria"/>
          <w:b/>
          <w:sz w:val="28"/>
          <w:szCs w:val="28"/>
        </w:rPr>
      </w:r>
    </w:p>
    <w:p>
      <w:pPr>
        <w:pStyle w:val="Normal"/>
        <w:jc w:val="center"/>
        <w:rPr>
          <w:rFonts w:ascii="Arial" w:hAnsi="Arial"/>
          <w:b w:val="false"/>
          <w:b w:val="false"/>
          <w:bCs w:val="false"/>
          <w:sz w:val="44"/>
          <w:szCs w:val="44"/>
        </w:rPr>
      </w:pPr>
      <w:r>
        <w:rPr>
          <w:rFonts w:ascii="Arial" w:hAnsi="Arial"/>
          <w:b w:val="false"/>
          <w:bCs w:val="false"/>
          <w:sz w:val="44"/>
          <w:szCs w:val="44"/>
        </w:rPr>
        <w:t>WYMAGANIA EDUKACYJNE NA JĘZYKU NIEMIECKIM ZAWODOWYM</w:t>
      </w:r>
    </w:p>
    <w:p>
      <w:pPr>
        <w:pStyle w:val="Normal"/>
        <w:jc w:val="center"/>
        <w:rPr>
          <w:rFonts w:ascii="Arial" w:hAnsi="Arial"/>
        </w:rPr>
      </w:pPr>
      <w:r>
        <w:rPr>
          <w:rFonts w:ascii="Arial" w:hAnsi="Arial"/>
          <w:b w:val="false"/>
          <w:bCs w:val="false"/>
          <w:sz w:val="44"/>
          <w:szCs w:val="44"/>
        </w:rPr>
        <w:t xml:space="preserve">- </w:t>
      </w:r>
      <w:r>
        <w:rPr>
          <w:rFonts w:ascii="Arial" w:hAnsi="Arial"/>
          <w:b/>
          <w:bCs/>
          <w:sz w:val="44"/>
          <w:szCs w:val="44"/>
        </w:rPr>
        <w:t>MECHANIK POJAZDÓW SAMOCHODOWYCH</w:t>
      </w:r>
    </w:p>
    <w:p>
      <w:pPr>
        <w:pStyle w:val="Normal"/>
        <w:jc w:val="center"/>
        <w:rPr>
          <w:rFonts w:ascii="Arial" w:hAnsi="Arial"/>
        </w:rPr>
      </w:pPr>
      <w:r>
        <w:rPr>
          <w:rFonts w:eastAsia="Arial" w:ascii="Arial" w:hAnsi="Arial"/>
          <w:b w:val="false"/>
          <w:bCs w:val="false"/>
          <w:sz w:val="44"/>
          <w:szCs w:val="44"/>
        </w:rPr>
        <w:t xml:space="preserve"> </w:t>
      </w:r>
      <w:r>
        <w:rPr>
          <w:rFonts w:ascii="Arial" w:hAnsi="Arial"/>
          <w:b w:val="false"/>
          <w:bCs w:val="false"/>
          <w:sz w:val="44"/>
          <w:szCs w:val="44"/>
        </w:rPr>
        <w:t>W KLASIE</w:t>
      </w:r>
      <w:r>
        <w:rPr>
          <w:rFonts w:ascii="Arial" w:hAnsi="Arial"/>
          <w:b/>
          <w:bCs/>
          <w:sz w:val="44"/>
          <w:szCs w:val="44"/>
        </w:rPr>
        <w:t xml:space="preserve"> III BRANŻOWA SZKOŁA  I STOPNIA</w:t>
      </w:r>
    </w:p>
    <w:p>
      <w:pPr>
        <w:pStyle w:val="Normal"/>
        <w:jc w:val="center"/>
        <w:rPr>
          <w:rFonts w:ascii="Arial" w:hAnsi="Arial"/>
          <w:b w:val="false"/>
          <w:b w:val="false"/>
          <w:bCs w:val="false"/>
          <w:sz w:val="44"/>
          <w:szCs w:val="44"/>
        </w:rPr>
      </w:pPr>
      <w:r>
        <w:rPr>
          <w:rFonts w:ascii="Arial" w:hAnsi="Arial"/>
          <w:b w:val="false"/>
          <w:bCs w:val="false"/>
          <w:sz w:val="44"/>
          <w:szCs w:val="44"/>
        </w:rPr>
      </w:r>
    </w:p>
    <w:p>
      <w:pPr>
        <w:pStyle w:val="Normal"/>
        <w:jc w:val="center"/>
        <w:rPr>
          <w:rFonts w:ascii="Arial" w:hAnsi="Arial"/>
          <w:b w:val="false"/>
          <w:b w:val="false"/>
          <w:bCs w:val="false"/>
          <w:sz w:val="44"/>
          <w:szCs w:val="44"/>
        </w:rPr>
      </w:pPr>
      <w:r>
        <w:rPr>
          <w:rFonts w:ascii="Arial" w:hAnsi="Arial"/>
          <w:b w:val="false"/>
          <w:bCs w:val="false"/>
          <w:sz w:val="44"/>
          <w:szCs w:val="44"/>
        </w:rPr>
      </w:r>
    </w:p>
    <w:p>
      <w:pPr>
        <w:pStyle w:val="Normal"/>
        <w:jc w:val="center"/>
        <w:rPr>
          <w:rFonts w:ascii="Arial" w:hAnsi="Arial"/>
          <w:b w:val="false"/>
          <w:b w:val="false"/>
          <w:bCs w:val="false"/>
          <w:sz w:val="44"/>
          <w:szCs w:val="44"/>
        </w:rPr>
      </w:pPr>
      <w:r>
        <w:rPr>
          <w:rFonts w:ascii="Arial" w:hAnsi="Arial"/>
          <w:b w:val="false"/>
          <w:bCs w:val="false"/>
          <w:sz w:val="44"/>
          <w:szCs w:val="44"/>
        </w:rPr>
      </w:r>
    </w:p>
    <w:p>
      <w:pPr>
        <w:pStyle w:val="Normal"/>
        <w:jc w:val="center"/>
        <w:rPr>
          <w:rFonts w:ascii="Arial" w:hAnsi="Arial"/>
          <w:b w:val="false"/>
          <w:b w:val="false"/>
          <w:bCs w:val="false"/>
          <w:sz w:val="44"/>
          <w:szCs w:val="44"/>
        </w:rPr>
      </w:pPr>
      <w:r>
        <w:rPr>
          <w:rFonts w:ascii="Arial" w:hAnsi="Arial"/>
          <w:b w:val="false"/>
          <w:bCs w:val="false"/>
          <w:sz w:val="44"/>
          <w:szCs w:val="44"/>
        </w:rPr>
      </w:r>
    </w:p>
    <w:p>
      <w:pPr>
        <w:pStyle w:val="Normal"/>
        <w:jc w:val="center"/>
        <w:rPr>
          <w:rFonts w:ascii="Arial" w:hAnsi="Arial"/>
          <w:b w:val="false"/>
          <w:b w:val="false"/>
          <w:bCs w:val="false"/>
          <w:sz w:val="44"/>
          <w:szCs w:val="44"/>
        </w:rPr>
      </w:pPr>
      <w:r>
        <w:rPr>
          <w:rFonts w:ascii="Arial" w:hAnsi="Arial"/>
          <w:b w:val="false"/>
          <w:bCs w:val="false"/>
          <w:sz w:val="44"/>
          <w:szCs w:val="44"/>
        </w:rPr>
      </w:r>
    </w:p>
    <w:p>
      <w:pPr>
        <w:pStyle w:val="Normal"/>
        <w:rPr>
          <w:rFonts w:ascii="Arial" w:hAnsi="Arial"/>
          <w:b/>
          <w:b/>
          <w:bCs/>
          <w:sz w:val="36"/>
          <w:szCs w:val="36"/>
        </w:rPr>
      </w:pPr>
      <w:r>
        <w:rPr>
          <w:rFonts w:ascii="Arial" w:hAnsi="Arial"/>
          <w:b/>
          <w:bCs/>
          <w:sz w:val="36"/>
          <w:szCs w:val="36"/>
        </w:rPr>
      </w:r>
    </w:p>
    <w:p>
      <w:pPr>
        <w:pStyle w:val="Normal"/>
        <w:rPr>
          <w:rFonts w:ascii="Arial" w:hAnsi="Arial"/>
          <w:b/>
          <w:b/>
          <w:bCs/>
          <w:sz w:val="36"/>
          <w:szCs w:val="36"/>
        </w:rPr>
      </w:pPr>
      <w:r>
        <w:rPr>
          <w:rFonts w:ascii="Arial" w:hAnsi="Arial"/>
          <w:b/>
          <w:bCs/>
          <w:sz w:val="36"/>
          <w:szCs w:val="36"/>
        </w:rPr>
      </w:r>
    </w:p>
    <w:p>
      <w:pPr>
        <w:pStyle w:val="Normal"/>
        <w:jc w:val="left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ormal"/>
        <w:jc w:val="left"/>
        <w:rPr>
          <w:rFonts w:ascii="Arial" w:hAnsi="Arial"/>
        </w:rPr>
      </w:pPr>
      <w:r>
        <w:rPr>
          <w:rFonts w:ascii="Arial" w:hAnsi="Arial"/>
          <w:b/>
          <w:bCs/>
          <w:sz w:val="20"/>
          <w:szCs w:val="20"/>
        </w:rPr>
        <w:t>Nazwa programu:</w:t>
      </w:r>
      <w:r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b w:val="false"/>
          <w:bCs w:val="false"/>
          <w:sz w:val="20"/>
          <w:szCs w:val="20"/>
        </w:rPr>
        <w:t xml:space="preserve">PROGRAM NAUCZANIA </w:t>
      </w:r>
      <w:r>
        <w:rPr>
          <w:rFonts w:eastAsia="Arial" w:cs="Arial" w:ascii="Arial" w:hAnsi="Arial"/>
          <w:b w:val="false"/>
          <w:bCs w:val="false"/>
          <w:color w:val="auto"/>
          <w:sz w:val="20"/>
          <w:szCs w:val="20"/>
        </w:rPr>
        <w:t>opracowany w oparciu o Rozporządzenie Ministra Edukacji Narodowej z dnia 16 maja 2019 r. w sprawie podstaw programowych kształcenia w zawodach szkolnictwa branżowego oraz dodatkowych umiejętności zawodowych w zakresie wybranych zawodów szkolnictwa branżowegow ramach projektu „Partnerstwo na rzecz kształcenia zawodowego. Etap 3. Edukacja zawodowa odpowiadająca potrzebom rynku pracy”, współfinansowanego ze środków Unii Europejskiej w ramach Europejskiego Funduszu Społecznego, realizowanego w latach 2018–2019</w:t>
      </w:r>
    </w:p>
    <w:p>
      <w:pPr>
        <w:pStyle w:val="Normal"/>
        <w:spacing w:before="0" w:after="86"/>
        <w:jc w:val="left"/>
        <w:rPr>
          <w:rFonts w:ascii="Arial" w:hAnsi="Arial"/>
        </w:rPr>
      </w:pPr>
      <w:r>
        <w:rPr>
          <w:rFonts w:ascii="Arial" w:hAnsi="Arial"/>
          <w:b/>
          <w:bCs/>
          <w:sz w:val="20"/>
          <w:szCs w:val="20"/>
        </w:rPr>
        <w:t>Źródło</w:t>
      </w:r>
      <w:r>
        <w:rPr>
          <w:rFonts w:ascii="Arial" w:hAnsi="Arial"/>
          <w:sz w:val="20"/>
          <w:szCs w:val="20"/>
        </w:rPr>
        <w:t xml:space="preserve">: </w:t>
      </w:r>
      <w:r>
        <w:rPr>
          <w:rFonts w:ascii="Arial" w:hAnsi="Arial"/>
          <w:b w:val="false"/>
          <w:bCs w:val="false"/>
          <w:sz w:val="20"/>
          <w:szCs w:val="20"/>
        </w:rPr>
        <w:t>wydawnictwo Lektorklett</w:t>
      </w:r>
    </w:p>
    <w:p>
      <w:pPr>
        <w:pStyle w:val="Normal"/>
        <w:spacing w:before="0" w:after="86"/>
        <w:jc w:val="left"/>
        <w:rPr>
          <w:rFonts w:ascii="Arial" w:hAnsi="Arial"/>
        </w:rPr>
      </w:pPr>
      <w:r>
        <w:rPr>
          <w:rFonts w:eastAsia="Times New Roman" w:cs="Tahoma" w:ascii="Arial" w:hAnsi="Arial"/>
          <w:b/>
          <w:bCs/>
          <w:sz w:val="20"/>
          <w:szCs w:val="20"/>
        </w:rPr>
        <w:t>Opracowanie</w:t>
      </w:r>
      <w:r>
        <w:rPr>
          <w:rFonts w:eastAsia="Times New Roman" w:cs="Tahoma" w:ascii="Arial" w:hAnsi="Arial"/>
          <w:b/>
          <w:sz w:val="20"/>
          <w:szCs w:val="20"/>
        </w:rPr>
        <w:t xml:space="preserve">: </w:t>
      </w:r>
      <w:r>
        <w:rPr>
          <w:rFonts w:eastAsia="Times New Roman" w:cs="Tahoma" w:ascii="Arial" w:hAnsi="Arial"/>
          <w:b w:val="false"/>
          <w:bCs w:val="false"/>
          <w:sz w:val="20"/>
          <w:szCs w:val="20"/>
        </w:rPr>
        <w:t xml:space="preserve">nauczyciele języka niemieckiego </w:t>
      </w:r>
    </w:p>
    <w:p>
      <w:pPr>
        <w:pStyle w:val="Normal"/>
        <w:spacing w:lineRule="auto" w:line="240" w:before="0" w:after="0"/>
        <w:jc w:val="both"/>
        <w:rPr>
          <w:rFonts w:ascii="Arial" w:hAnsi="Arial" w:eastAsia="" w:cs="Arial" w:eastAsiaTheme="majorEastAsia"/>
          <w:b/>
          <w:b/>
          <w:sz w:val="20"/>
          <w:szCs w:val="20"/>
        </w:rPr>
      </w:pPr>
      <w:r>
        <w:rPr>
          <w:rFonts w:eastAsia="" w:cs="Arial" w:eastAsiaTheme="majorEastAsia" w:ascii="Arial" w:hAnsi="Arial"/>
          <w:b/>
          <w:sz w:val="20"/>
          <w:szCs w:val="20"/>
        </w:rPr>
      </w:r>
    </w:p>
    <w:p>
      <w:pPr>
        <w:pStyle w:val="Tretekstu"/>
        <w:numPr>
          <w:ilvl w:val="0"/>
          <w:numId w:val="1"/>
        </w:numPr>
        <w:spacing w:before="120" w:after="120"/>
        <w:ind w:left="357" w:hanging="357"/>
        <w:rPr>
          <w:rFonts w:ascii="Arial" w:hAnsi="Arial"/>
        </w:rPr>
      </w:pPr>
      <w:r>
        <w:rPr>
          <w:rFonts w:cs="Calibri" w:ascii="Arial" w:hAnsi="Arial"/>
          <w:b/>
        </w:rPr>
        <w:t>Środki leksykalne:</w:t>
      </w:r>
    </w:p>
    <w:p>
      <w:pPr>
        <w:pStyle w:val="Tretekstu"/>
        <w:spacing w:before="120" w:after="120"/>
        <w:ind w:left="357" w:hanging="0"/>
        <w:rPr>
          <w:rFonts w:ascii="Arial" w:hAnsi="Arial" w:cs="Calibri"/>
          <w:b/>
          <w:b/>
        </w:rPr>
      </w:pPr>
      <w:r>
        <w:rPr>
          <w:rFonts w:cs="Calibri" w:ascii="Arial" w:hAnsi="Arial"/>
          <w:b/>
        </w:rPr>
      </w:r>
    </w:p>
    <w:tbl>
      <w:tblPr>
        <w:tblW w:w="921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941"/>
        <w:gridCol w:w="6269"/>
      </w:tblGrid>
      <w:tr>
        <w:trPr/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>1. Podział pojazdów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>mechanicznych</w:t>
            </w:r>
          </w:p>
        </w:tc>
        <w:tc>
          <w:tcPr>
            <w:tcW w:w="6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nazwy typowych pojazdów mechanicznych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zwroty opisujące zastosowanie pojazdów mechanicznych w branży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wyrażenia opisujące funkcję pojazdów mechanicznych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nazewnictwo fachowe związane z informacjami znajdującymi się w dowodzie rejestracyjnym pojazdu mechanicznego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przymiotniki umożliwiające opis pojazdu ze względu na jego wielkość, wagę, pojemność, osiąganą prędkość, cenę, stopień zaawansowania technologicznego</w:t>
            </w:r>
          </w:p>
        </w:tc>
      </w:tr>
      <w:tr>
        <w:trPr/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>2. Pojazdy transportowe</w:t>
            </w:r>
          </w:p>
        </w:tc>
        <w:tc>
          <w:tcPr>
            <w:tcW w:w="6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nazwy wózków transportowych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zwroty charakteryzujące zastosowanie wózków transportowych w codziennej pracy zawodowej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nazwy napędów typowych dla wózków transportowych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rodzaje uprawnień do kierowania wózkiem transportowym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czasowniki określające funkcję pojazdów transportowych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rzeczowniki umożliwiające zrozumienie informacji zawartych w liście przewozowym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zwroty umożliwiające opis funkcji listu przewozowego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czasowniki związane z prawidłowym wypełnieniem listu przewozowego</w:t>
            </w:r>
          </w:p>
        </w:tc>
      </w:tr>
      <w:tr>
        <w:trPr/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>3. Motocykle</w:t>
            </w:r>
          </w:p>
        </w:tc>
        <w:tc>
          <w:tcPr>
            <w:tcW w:w="6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nazwy poszczególnych części motocykla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czasowniki opisujące podstawowe funkcje wybranych części konstrukcyjnych motocykla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nazwy typowych jednośladów spotykanych w życiu codziennym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zwroty umożliwiające zrozumienie i nadanie ogłoszenia dotyczącego kupna lub sprzedaży motocykla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przymiotniki określające stan motocykla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zwroty opisujące podstawowe zachowania osoby kierującej motocyklem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zwroty związane z bezpieczeństwem na drodze osoby kierującej motocyklem</w:t>
            </w:r>
          </w:p>
        </w:tc>
      </w:tr>
      <w:tr>
        <w:trPr/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>4. Główne elementy konstrukcyjne pojazdów mechanicznych</w:t>
            </w:r>
          </w:p>
        </w:tc>
        <w:tc>
          <w:tcPr>
            <w:tcW w:w="6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nazwy głównych elementów konstrukcyjnych pojazdu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zwroty opisujące funkcję wybranych elementów konstrukcyjnych pojazdu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nazwy układów samochodowych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czasowniki opisujące podstawowe funkcje układów samochodowych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zwroty umożliwiające opis wybranych elementów pojazdu i jego systemów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czasowniki opisujące funkcjonowanie poszczególnych elementów konstrukcyjnych pojazdu</w:t>
            </w:r>
          </w:p>
        </w:tc>
      </w:tr>
      <w:tr>
        <w:trPr/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>a. silnik pojazdów mechanicznych</w:t>
            </w:r>
          </w:p>
        </w:tc>
        <w:tc>
          <w:tcPr>
            <w:tcW w:w="6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nazwy części konstrukcyjnych silnika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czasowniki opisujące funkcję wybranych części konstrukcyjnych silnika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rzeczowniki umożliwiające zrozumienie informacji podanych w rachunku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słownictwo i zwroty związane z naprawą silnika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podawanie dokładnego terminu i miejsca naprawy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podawanie przewidywanych kosztów naprawy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zwroty opisujące podstawowe uszkodzenia silnika</w:t>
            </w:r>
          </w:p>
        </w:tc>
      </w:tr>
      <w:tr>
        <w:trPr/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>b. hamulce</w:t>
            </w:r>
          </w:p>
        </w:tc>
        <w:tc>
          <w:tcPr>
            <w:tcW w:w="6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nazwy rodzajów hamulców występujących w pojazdach mechanicznych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nazwy wybranych elementów konstrukcyjnych hamulców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zwroty związane z poprawnym funkcjonowaniem hamulców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czynności mechanika związane z poprawnym funkcjonowaniem hamulców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zwroty opisujące uszkodzenia hamulców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czynności związane z naprawą hamulców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przymiotniki opisujące dobrego mechanika</w:t>
            </w:r>
          </w:p>
        </w:tc>
      </w:tr>
      <w:tr>
        <w:trPr/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>5. Wygląd zewnętrzny pojazdów mechanicznych</w:t>
            </w:r>
          </w:p>
        </w:tc>
        <w:tc>
          <w:tcPr>
            <w:tcW w:w="6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nazwy elementów konstrukcyjnych pojazdu wpływających na jego wygląd zewnętrzny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czasownik sich befinden: znaczenie i funkcja w zdaniu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słownictwo i zwroty umożliwiające składanie zamówienia na wybraną część konstrukcyjną pojazdu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słownictwo i zwroty dotyczące pytań najczęściej zadawanych w procesie kupna pojazdu oraz odpowiedzi udzielanych w procesie sprzedaży pojazdu</w:t>
            </w:r>
          </w:p>
        </w:tc>
      </w:tr>
      <w:tr>
        <w:trPr/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>6. Wnętrze pojazdu</w:t>
            </w:r>
          </w:p>
        </w:tc>
        <w:tc>
          <w:tcPr>
            <w:tcW w:w="6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słownictwo opisujące funkcję wnętrza pojazdu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nazwy elementów konstrukcyjnych deski rozdzielczej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czasowniki opisujące funkcję wybranych elementów konstrukcyjnych znajdujących się we wnętrzu pojazdu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przymiotniki opisujące stan wnętrza pojazdu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nazwy elementów wyposażenia pojazdów wpływające na komfort jazdy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nazwy elementów wyposażenia pojazdów wpływające na standard pojazdu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>7. Wskaźniki pojazdów mechanicznych</w:t>
            </w:r>
          </w:p>
        </w:tc>
        <w:tc>
          <w:tcPr>
            <w:tcW w:w="6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nazwy jednostek fizycznych związanych z pojazdami mechanicznymi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przyrządy pomiarowe dostępne w warsztacie samochodowym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różnica znaczeniowa między czasownikami messen i erfassen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zwroty opisujące funkcje przyrządów pomiarowych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rzeczowniki określające miejsce dokonywania pomiarów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nazwy wskaźników znajdujących się na desce rozdzielczej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zwroty opisujące wybrane usterki wskazywane przez wskaźniki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zwroty opisujące naprawę wybranych usterek wskazywanych przez wskaźniki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zwroty umożliwiające wygłaszanie własnej opinii dotyczącej opisu usterki i sposobu naprawy</w:t>
            </w:r>
          </w:p>
        </w:tc>
      </w:tr>
      <w:tr>
        <w:trPr/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>8. Wulkanizacja</w:t>
            </w:r>
          </w:p>
        </w:tc>
        <w:tc>
          <w:tcPr>
            <w:tcW w:w="6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zwroty umożliwiające wyrażanie własnej opinii o warsztacie, usługach, pracownikach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zwroty dotyczące pracy mechanika w zakresie opon i kół pojazdów mechanicznych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przymiotniki opisujące odpowiednią obsługę klienta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podawanie dokładnego terminu wymiany opon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słownictwo umożliwiające prowadzenie swobodnej rozmowy telefonicznej z klientem wulkanizacji</w:t>
            </w:r>
          </w:p>
        </w:tc>
      </w:tr>
      <w:tr>
        <w:trPr/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>a. opony i felgi</w:t>
            </w:r>
          </w:p>
        </w:tc>
        <w:tc>
          <w:tcPr>
            <w:tcW w:w="6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słownictwo określające rodzaje opon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słownictwo określające rodzaje felg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liczebniki główne w kontekście podawania odpowiedniego bieżnika opony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słownictwo opisujące prawidłowe cechy opon i felg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przymiotniki opisujące nieprawidłowe cechy opon i felg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nazwy elementów konstrukcyjnych opony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słownictwo opisujące funkcję poszczególnych elementów konstrukcyjnych opony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słownictwo związane z historią i rozwojem opon od XIX wieku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słownictwo opisujące warunki pogodowe panujące w ruchu ulicznym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słowotwórstwo w zakresie tworzenia rzeczowników</w:t>
            </w:r>
          </w:p>
        </w:tc>
      </w:tr>
      <w:tr>
        <w:trPr/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>9. Przygotowanie samochodu na okres zimowy</w:t>
            </w:r>
          </w:p>
        </w:tc>
        <w:tc>
          <w:tcPr>
            <w:tcW w:w="6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zwroty opisujące czynności, które umożliwiają odpowiednie przygotowanie pojazdu na okres zimowy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zwroty rozpoczynające i kończące e-mail jako nieoficjalną formę dłuższej wypowiedzi pisemnej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zwroty opisujące skutki nieprzygotowania pojazdu na okres zimowy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zwroty opisujące powody, dla których należy odpowiednio przygotować pojazd na okres zimowy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przysłówki określające prawdopodobieństwo występowania uszkodzeń</w:t>
            </w:r>
          </w:p>
        </w:tc>
      </w:tr>
      <w:tr>
        <w:trPr/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>10. W warsztacie</w:t>
            </w:r>
          </w:p>
        </w:tc>
        <w:tc>
          <w:tcPr>
            <w:tcW w:w="6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nazwy przedmiotów stanowiących wyposażenie typowego warsztatu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słownictwo umożliwiające opis dotychczasowego kształcenia się w zawodzie mechanika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słownictwo umożliwiające krótką wypowiedź o dotychczasowym doświadczeniu w zawodzie mechanika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czasowniki dotyczące typowych czynności mających miejsce w warsztacie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nazwy narzędzi i urządzeń wykorzystywanych w warsztacie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przymiotniki i rzeczowniki opisujące cechy poszczególnych narzędzi i urządzeń wykorzystywanych w warsztacie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słownictwo umożliwiające rozumienie ogłoszeń sprzedaży narzędzi i urządzeń wykorzystywanych w warsztacie w zakresie ceny, kosztów przesyłki i czasu dostawy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zwroty umożliwiające zadawanie pytań w zakresie kupna wybranych narzędzi i urządzeń</w:t>
            </w:r>
          </w:p>
        </w:tc>
      </w:tr>
      <w:tr>
        <w:trPr/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>a. przegląd techniczny pojazdu i jego pielęgnacja</w:t>
            </w:r>
          </w:p>
        </w:tc>
        <w:tc>
          <w:tcPr>
            <w:tcW w:w="6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czynności mechanika wykonywane podczas typowego przeglądu technicznego pojazdu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pary rzeczownikowo-czasownikowe typu die Wartung – warten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nazwy rodzajów warsztatów samochodowych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zwroty opisujące konsekwencje złej pielęgnacji pojazdu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zwroty umożliwiające poinformowanie klienta o nieprawidłowym funkcjonowaniu wybranego elementu konstrukcyjnego pojazdu</w:t>
            </w:r>
          </w:p>
        </w:tc>
      </w:tr>
      <w:tr>
        <w:trPr/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>b. narzędzia</w:t>
            </w:r>
          </w:p>
        </w:tc>
        <w:tc>
          <w:tcPr>
            <w:tcW w:w="6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nazwy narzędzi wykorzystywanych w warsztacie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słownictwo opisujące funkcję wybranych narzędzi wykorzystywanych w warsztacie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>c. czynności mechanika w warsztacie</w:t>
            </w:r>
          </w:p>
        </w:tc>
        <w:tc>
          <w:tcPr>
            <w:tcW w:w="6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słownictwo z zakresu funkcji wybranych narzędzi wykorzystywanych w warsztacie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słownictwo w zakresie czynności wykonywanych przez mechanika w warsztacie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>d. wymiana oleju</w:t>
            </w:r>
          </w:p>
        </w:tc>
        <w:tc>
          <w:tcPr>
            <w:tcW w:w="6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zwroty umożliwiające przeprowadzenie krótkiej rozmowy ze współpracownikami pierwszego dnia pracy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zwroty dotyczące czynności opisujących wymianę oleju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zwroty umożliwiające wyrażenie opinii o miejscu praktyk</w:t>
            </w:r>
          </w:p>
        </w:tc>
      </w:tr>
      <w:tr>
        <w:trPr/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>e. wymiana paska rozrządu</w:t>
            </w:r>
          </w:p>
        </w:tc>
        <w:tc>
          <w:tcPr>
            <w:tcW w:w="6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nazwy części konstrukcyjnych pojazdu bezpośrednio związanych z wymianą paska rozrządu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zwroty opisujące funkcje paska rozrządu w pojeździe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zwroty opisujące szkody w przypadku złej lub braku wymiany paska rozrządu</w:t>
            </w:r>
          </w:p>
        </w:tc>
      </w:tr>
      <w:tr>
        <w:trPr/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>11. Pojazdy i ekologia</w:t>
            </w:r>
          </w:p>
        </w:tc>
        <w:tc>
          <w:tcPr>
            <w:tcW w:w="6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nazwy pojazdów będących alternatywą dla pojazdów spalinowych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zwroty umożliwiające opis podstawowych cech pozytywnych i negatywnych auta z napędem elektrycznym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zwroty umożliwiające opis podstawowych cech pozytywnych i negatywnych auta hybrydowego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zwroty opisujące pojazd przyjazny dla środowiska</w:t>
            </w:r>
          </w:p>
        </w:tc>
      </w:tr>
      <w:tr>
        <w:trPr/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>12. Technika pomiarowa i kontrolna</w:t>
            </w:r>
          </w:p>
        </w:tc>
        <w:tc>
          <w:tcPr>
            <w:tcW w:w="6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nazwy przyrządów pomiarowych i kontrolnych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zwroty opisujące funkcje przyrządów pomiarowych i kontrolnych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przymiotniki opisujące poprawny i niepoprawny pomiar i kontrolę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zwroty umożliwiające poprawną reakcję językową w trakcie dokonywania pomiaru lub kontroli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nazwy czynności wykonywanych przez mechanika w trakcie dokonywania pomiaru lub kontroli</w:t>
            </w:r>
          </w:p>
        </w:tc>
      </w:tr>
      <w:tr>
        <w:trPr/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>13. Pneumatyka i hydraulika</w:t>
            </w:r>
          </w:p>
        </w:tc>
        <w:tc>
          <w:tcPr>
            <w:tcW w:w="6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nazwy usług oferowanych w warsztacie w zakresie pneumatyki i hydrauliki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nazwy elementów konstrukcyjnych pojazdów w zakresie pneumatyki i hydrauliki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nazwy elementów konstrukcyjnych maszyn w zakresie pneumatyki i hydrauliki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przymiotniki opisujące uszkodzenia elementów konstrukcyjnych pojazdu w zakresie pneumatyki i hydrauliki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zwroty opisujące wymianę siłownika gazowego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nazwy jednostek fizycznych związanych z pneumatyką i hydrauliką</w:t>
            </w:r>
          </w:p>
        </w:tc>
      </w:tr>
      <w:tr>
        <w:trPr/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>14. Systemy transmisji danych</w:t>
            </w:r>
          </w:p>
        </w:tc>
        <w:tc>
          <w:tcPr>
            <w:tcW w:w="6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nazwy urządzeń dokonujących transmisji danych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zwroty opisujące funkcję urządzeń dokonujących transmisji danych w warsztacie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zwroty opisujące zalety i wady urządzeń dokonujących transmisji danych w pojazdach mechanicznych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tworzenie rzeczowników na podstawie podanych</w:t>
            </w:r>
          </w:p>
        </w:tc>
      </w:tr>
      <w:tr>
        <w:trPr/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>15. Podstawy elektrotechniki</w:t>
            </w:r>
          </w:p>
        </w:tc>
        <w:tc>
          <w:tcPr>
            <w:tcW w:w="6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nazwy rodzajów napraw dokonywanych w warsztacie w zakresie elektrotechniki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przymiotniki opisujące urządzenia elektroniczne zastosowane w pojazdach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nazwy jednostek pomiaru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nazwy narzędzi, za pomocą których są dokonywane usługi w warsztacie w zakresie elektrotechniki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zwroty opisujące funkcje narzędzi, za pomocą których są dokonywane usługi w warsztacie w zakresie elektrotechniki</w:t>
            </w:r>
          </w:p>
        </w:tc>
      </w:tr>
      <w:tr>
        <w:trPr/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>16. Bezpieczeństwo w miejscu pracy</w:t>
            </w:r>
          </w:p>
        </w:tc>
        <w:tc>
          <w:tcPr>
            <w:tcW w:w="6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zwroty charakteryzujące główne zagrożenia w miejscu pracy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zwroty opisujące znaki ostrzegawcze znajdujące się w miejscu pracy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zwroty opisujące zachowania, które umożliwiają uniknięcie zagrożenia w miejscu pracy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zwroty umożliwiające wyrażenie ostrzeżenia, potrzeby pomocy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zwroty opisujące wskazówki postępowania w momencie zagrożenia w miejscu pracy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zwroty opisujące czynności ratownicze w momencie wystąpienia pożaru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nazwy poszczególnych elementów odzieży ochronnej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nazwy części ciała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zwroty opisujące funkcję poszczególnych elementów odzieży ochronnej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zwroty opisujące funkcję odzieży roboczej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przymiotniki charakteryzujące odzież ochronną i roboczą</w:t>
            </w:r>
          </w:p>
        </w:tc>
      </w:tr>
      <w:tr>
        <w:trPr/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>17. Wypadek w miejscu pracy</w:t>
            </w:r>
          </w:p>
        </w:tc>
        <w:tc>
          <w:tcPr>
            <w:tcW w:w="6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nazwy rodzajów wypadków mających miejsce w pracy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zwroty opisujące wypadki mające miejsce w pracy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zwroty opisujące postępowanie osoby poszkodowanej po wypadku w miejscu pracy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zwroty opisujące obowiązki pracodawcy w przypadku wystąpienia wypadku w miejscu pracy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nazwy czynności pierwszej pomocy w razie wystąpienia wypadku w miejscu pracy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nazwy przedmiotów znajdujących się podręcznej apteczce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zwroty opisujące główne przyczyny wypadków w miejscu pracy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zwroty wyrażające czynności naprawiania szkód powypadkowych</w:t>
            </w:r>
          </w:p>
        </w:tc>
      </w:tr>
      <w:tr>
        <w:trPr/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>18. Rynek pracy</w:t>
            </w:r>
          </w:p>
        </w:tc>
        <w:tc>
          <w:tcPr>
            <w:tcW w:w="6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>a. poszukiwanie pracy</w:t>
            </w:r>
          </w:p>
        </w:tc>
        <w:tc>
          <w:tcPr>
            <w:tcW w:w="6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przedstawianie się, opowiadanie o swoim doświadczeniu zawodowym i wyobrażeniach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>dotyczących przyszłej pracy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zwroty opisujące zakres obowiązków pracownika na wybranym stanowisku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zwroty opisujące wymagania pracodawcy względem przyszłego pracownika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zwroty opisujące funkcje i cechy poprawnego życiorysu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rzeczowniki określające elementy składowe życiorysu</w:t>
            </w:r>
          </w:p>
        </w:tc>
      </w:tr>
      <w:tr>
        <w:trPr/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>b. proces ubiegania się o pracę</w:t>
            </w:r>
          </w:p>
        </w:tc>
        <w:tc>
          <w:tcPr>
            <w:tcW w:w="6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rzeczowniki określające podstawowe elementy podania o pracę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zwroty opisujące dobrze skonstruowany list motywacyjny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zwroty typowe dla listu motywacyjnego jak: formułka rozpoczynająca i kończąca podanie o pracę, wyrażenie gotowości do udziału w rozmowie kwalifikacyjnej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zapytanie o doświadczenie zawodowe, preferowane metody pracy, wynagrodzenie, słabe i mocne strony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 xml:space="preserve">– </w:t>
            </w:r>
            <w:r>
              <w:rPr>
                <w:rFonts w:eastAsia="PoloZE22R-Leicht" w:cs="Tahoma" w:ascii="Arial" w:hAnsi="Arial"/>
                <w:sz w:val="20"/>
                <w:szCs w:val="20"/>
              </w:rPr>
              <w:t>zwroty umożliwiające reakcję na pytania przyszłego pracodawcy w zakresie doświadczenia zawodowego, metod pracy, wynagrodzenia, słabych i mocnych</w:t>
            </w:r>
          </w:p>
          <w:p>
            <w:pPr>
              <w:pStyle w:val="Normal"/>
              <w:widowControl w:val="false"/>
              <w:rPr>
                <w:rFonts w:ascii="Arial" w:hAnsi="Arial" w:eastAsia="PoloZE22R-Leicht" w:cs="Tahoma"/>
                <w:sz w:val="20"/>
                <w:szCs w:val="20"/>
              </w:rPr>
            </w:pPr>
            <w:r>
              <w:rPr>
                <w:rFonts w:eastAsia="PoloZE22R-Leicht" w:cs="Tahoma" w:ascii="Arial" w:hAnsi="Arial"/>
                <w:sz w:val="20"/>
                <w:szCs w:val="20"/>
              </w:rPr>
              <w:t>stron</w:t>
            </w:r>
          </w:p>
        </w:tc>
      </w:tr>
    </w:tbl>
    <w:p>
      <w:pPr>
        <w:pStyle w:val="Normal"/>
        <w:spacing w:before="120" w:after="60"/>
        <w:textAlignment w:val="baseline"/>
        <w:rPr>
          <w:rFonts w:ascii="Arial" w:hAnsi="Arial" w:eastAsia="Andale Sans UI" w:cs="Calibri" w:cstheme="minorHAnsi"/>
          <w:bCs/>
          <w:kern w:val="2"/>
          <w:lang w:eastAsia="de-DE" w:bidi="fa-IR"/>
        </w:rPr>
      </w:pPr>
      <w:r>
        <w:rPr>
          <w:rFonts w:eastAsia="Andale Sans UI" w:cs="Calibri" w:cstheme="minorHAnsi" w:ascii="Arial" w:hAnsi="Arial"/>
          <w:bCs/>
          <w:kern w:val="2"/>
          <w:lang w:eastAsia="de-DE" w:bidi="fa-IR"/>
        </w:rPr>
      </w:r>
    </w:p>
    <w:p>
      <w:pPr>
        <w:pStyle w:val="Tretekstu"/>
        <w:numPr>
          <w:ilvl w:val="0"/>
          <w:numId w:val="1"/>
        </w:numPr>
        <w:spacing w:before="480" w:after="120"/>
        <w:ind w:left="357" w:hanging="357"/>
        <w:rPr>
          <w:rFonts w:ascii="Arial" w:hAnsi="Arial"/>
        </w:rPr>
      </w:pPr>
      <w:r>
        <w:rPr>
          <w:rFonts w:cs="Calibri" w:ascii="Arial" w:hAnsi="Arial"/>
          <w:b/>
        </w:rPr>
        <w:t>Środki gramatyczne:</w:t>
      </w:r>
    </w:p>
    <w:p>
      <w:pPr>
        <w:pStyle w:val="Normal"/>
        <w:rPr>
          <w:rFonts w:ascii="Arial" w:hAnsi="Arial"/>
        </w:rPr>
      </w:pPr>
      <w:r>
        <w:rPr>
          <w:rFonts w:eastAsia="PoloZE22R-Leicht" w:cs="Tahoma" w:ascii="Arial" w:hAnsi="Arial"/>
        </w:rPr>
        <w:t xml:space="preserve">– </w:t>
      </w:r>
      <w:r>
        <w:rPr>
          <w:rFonts w:eastAsia="PoloZE22R-Leicht" w:cs="Tahoma" w:ascii="Arial" w:hAnsi="Arial"/>
        </w:rPr>
        <w:t>funkcja przyimka mit w połączeniu z nazwami pojazdów mechanicznych</w:t>
      </w:r>
    </w:p>
    <w:p>
      <w:pPr>
        <w:pStyle w:val="Normal"/>
        <w:rPr>
          <w:rFonts w:ascii="Arial" w:hAnsi="Arial"/>
        </w:rPr>
      </w:pPr>
      <w:r>
        <w:rPr>
          <w:rFonts w:eastAsia="PoloZE22R-Leicht" w:cs="Tahoma" w:ascii="Arial" w:hAnsi="Arial"/>
        </w:rPr>
        <w:t xml:space="preserve">– </w:t>
      </w:r>
      <w:r>
        <w:rPr>
          <w:rFonts w:eastAsia="PoloZE22R-Leicht" w:cs="Tahoma" w:ascii="Arial" w:hAnsi="Arial"/>
        </w:rPr>
        <w:t>przyimek mit jako element leksykalny umożliwiający poinformowanie o tym, jakim narzędziem wykonywana jest dana czynność w warsztacie</w:t>
      </w:r>
    </w:p>
    <w:p>
      <w:pPr>
        <w:pStyle w:val="Normal"/>
        <w:rPr>
          <w:rFonts w:ascii="Arial" w:hAnsi="Arial"/>
        </w:rPr>
      </w:pPr>
      <w:r>
        <w:rPr>
          <w:rFonts w:eastAsia="PoloZE22R-Leicht" w:cs="Tahoma" w:ascii="Arial" w:hAnsi="Arial"/>
        </w:rPr>
        <w:t xml:space="preserve">– </w:t>
      </w:r>
      <w:r>
        <w:rPr>
          <w:rFonts w:eastAsia="PoloZE22R-Leicht" w:cs="Tahoma" w:ascii="Arial" w:hAnsi="Arial"/>
        </w:rPr>
        <w:t>liczebniki główne w formie zapisywania i podawanie numerów rejestracyjnych</w:t>
      </w:r>
    </w:p>
    <w:p>
      <w:pPr>
        <w:pStyle w:val="Normal"/>
        <w:rPr>
          <w:rFonts w:ascii="Arial" w:hAnsi="Arial"/>
        </w:rPr>
      </w:pPr>
      <w:r>
        <w:rPr>
          <w:rFonts w:eastAsia="PoloZE22R-Leicht" w:cs="Tahoma" w:ascii="Arial" w:hAnsi="Arial"/>
        </w:rPr>
        <w:t xml:space="preserve">– </w:t>
      </w:r>
      <w:r>
        <w:rPr>
          <w:rFonts w:eastAsia="PoloZE22R-Leicht" w:cs="Tahoma" w:ascii="Arial" w:hAnsi="Arial"/>
        </w:rPr>
        <w:t>liczebniki główne w formie ceny produktu</w:t>
      </w:r>
    </w:p>
    <w:p>
      <w:pPr>
        <w:pStyle w:val="Normal"/>
        <w:rPr>
          <w:rFonts w:ascii="Arial" w:hAnsi="Arial"/>
        </w:rPr>
      </w:pPr>
      <w:r>
        <w:rPr>
          <w:rFonts w:eastAsia="PoloZE22R-Leicht" w:cs="Tahoma" w:ascii="Arial" w:hAnsi="Arial"/>
        </w:rPr>
        <w:t xml:space="preserve">– </w:t>
      </w:r>
      <w:r>
        <w:rPr>
          <w:rFonts w:eastAsia="PoloZE22R-Leicht" w:cs="Tahoma" w:ascii="Arial" w:hAnsi="Arial"/>
        </w:rPr>
        <w:t>podawanie poprawnych wartości za pomocą liczebników głównych</w:t>
      </w:r>
    </w:p>
    <w:p>
      <w:pPr>
        <w:pStyle w:val="Normal"/>
        <w:rPr>
          <w:rFonts w:ascii="Arial" w:hAnsi="Arial"/>
        </w:rPr>
      </w:pPr>
      <w:r>
        <w:rPr>
          <w:rFonts w:eastAsia="PoloZE22R-Leicht" w:cs="Tahoma" w:ascii="Arial" w:hAnsi="Arial"/>
        </w:rPr>
        <w:t xml:space="preserve">– </w:t>
      </w:r>
      <w:r>
        <w:rPr>
          <w:rFonts w:eastAsia="PoloZE22R-Leicht" w:cs="Tahoma" w:ascii="Arial" w:hAnsi="Arial"/>
        </w:rPr>
        <w:t>liczebniki główne w kontekście podawania odpowiedniego bieżnika opony</w:t>
      </w:r>
    </w:p>
    <w:p>
      <w:pPr>
        <w:pStyle w:val="Normal"/>
        <w:rPr>
          <w:rFonts w:ascii="Arial" w:hAnsi="Arial"/>
        </w:rPr>
      </w:pPr>
      <w:r>
        <w:rPr>
          <w:rFonts w:eastAsia="PoloZE22R-Leicht" w:cs="Tahoma" w:ascii="Arial" w:hAnsi="Arial"/>
        </w:rPr>
        <w:t xml:space="preserve">– </w:t>
      </w:r>
      <w:r>
        <w:rPr>
          <w:rFonts w:eastAsia="PoloZE22R-Leicht" w:cs="Tahoma" w:ascii="Arial" w:hAnsi="Arial"/>
        </w:rPr>
        <w:t>liczebniki główne w zakresie podawania stanu licznika</w:t>
      </w:r>
    </w:p>
    <w:p>
      <w:pPr>
        <w:pStyle w:val="Normal"/>
        <w:rPr>
          <w:rFonts w:ascii="Arial" w:hAnsi="Arial"/>
        </w:rPr>
      </w:pPr>
      <w:r>
        <w:rPr>
          <w:rFonts w:eastAsia="PoloZE22R-Leicht" w:cs="Tahoma" w:ascii="Arial" w:hAnsi="Arial"/>
        </w:rPr>
        <w:t xml:space="preserve">– </w:t>
      </w:r>
      <w:r>
        <w:rPr>
          <w:rFonts w:eastAsia="PoloZE22R-Leicht" w:cs="Tahoma" w:ascii="Arial" w:hAnsi="Arial"/>
        </w:rPr>
        <w:t>liczebniki główne w zakresie rozumienia kosztów usług w tekście słuchanym</w:t>
      </w:r>
    </w:p>
    <w:p>
      <w:pPr>
        <w:pStyle w:val="Normal"/>
        <w:rPr>
          <w:rFonts w:ascii="Arial" w:hAnsi="Arial"/>
        </w:rPr>
      </w:pPr>
      <w:r>
        <w:rPr>
          <w:rFonts w:eastAsia="PoloZE22R-Leicht" w:cs="Tahoma" w:ascii="Arial" w:hAnsi="Arial"/>
        </w:rPr>
        <w:t xml:space="preserve">– </w:t>
      </w:r>
      <w:r>
        <w:rPr>
          <w:rFonts w:eastAsia="PoloZE22R-Leicht" w:cs="Tahoma" w:ascii="Arial" w:hAnsi="Arial"/>
        </w:rPr>
        <w:t>liczebniki główne w kontekście odpowiedniej ilości oleju potrzebnego przy wymianie</w:t>
      </w:r>
    </w:p>
    <w:p>
      <w:pPr>
        <w:pStyle w:val="Normal"/>
        <w:rPr>
          <w:rFonts w:ascii="Arial" w:hAnsi="Arial"/>
        </w:rPr>
      </w:pPr>
      <w:r>
        <w:rPr>
          <w:rFonts w:eastAsia="PoloZE22R-Leicht" w:cs="Tahoma" w:ascii="Arial" w:hAnsi="Arial"/>
        </w:rPr>
        <w:t xml:space="preserve">– </w:t>
      </w:r>
      <w:r>
        <w:rPr>
          <w:rFonts w:eastAsia="PoloZE22R-Leicht" w:cs="Tahoma" w:ascii="Arial" w:hAnsi="Arial"/>
        </w:rPr>
        <w:t>wybrane przysłówki zaimkowe</w:t>
      </w:r>
    </w:p>
    <w:p>
      <w:pPr>
        <w:pStyle w:val="Normal"/>
        <w:rPr>
          <w:rFonts w:ascii="Arial" w:hAnsi="Arial"/>
        </w:rPr>
      </w:pPr>
      <w:r>
        <w:rPr>
          <w:rFonts w:eastAsia="PoloZE22R-Leicht" w:cs="Tahoma" w:ascii="Arial" w:hAnsi="Arial"/>
        </w:rPr>
        <w:t xml:space="preserve">– </w:t>
      </w:r>
      <w:r>
        <w:rPr>
          <w:rFonts w:eastAsia="PoloZE22R-Leicht" w:cs="Tahoma" w:ascii="Arial" w:hAnsi="Arial"/>
        </w:rPr>
        <w:t>rzeczowniki złożone: zasady tworzenia oraz dochodzenie ich znaczenia;</w:t>
      </w:r>
    </w:p>
    <w:p>
      <w:pPr>
        <w:pStyle w:val="Normal"/>
        <w:rPr>
          <w:rFonts w:ascii="Arial" w:hAnsi="Arial"/>
        </w:rPr>
      </w:pPr>
      <w:r>
        <w:rPr>
          <w:rFonts w:eastAsia="PoloZE22R-Leicht" w:cs="Tahoma" w:ascii="Arial" w:hAnsi="Arial"/>
        </w:rPr>
        <w:t xml:space="preserve">– </w:t>
      </w:r>
      <w:r>
        <w:rPr>
          <w:rFonts w:eastAsia="PoloZE22R-Leicht" w:cs="Tahoma" w:ascii="Arial" w:hAnsi="Arial"/>
        </w:rPr>
        <w:t>słowotwórstwo w zakresie tworzenia rzeczowników</w:t>
      </w:r>
    </w:p>
    <w:p>
      <w:pPr>
        <w:pStyle w:val="Normal"/>
        <w:rPr>
          <w:rFonts w:ascii="Arial" w:hAnsi="Arial"/>
        </w:rPr>
      </w:pPr>
      <w:r>
        <w:rPr>
          <w:rFonts w:eastAsia="PoloZE22R-Leicht" w:cs="Tahoma" w:ascii="Arial" w:hAnsi="Arial"/>
        </w:rPr>
        <w:t xml:space="preserve">– </w:t>
      </w:r>
      <w:r>
        <w:rPr>
          <w:rFonts w:eastAsia="PoloZE22R-Leicht" w:cs="Tahoma" w:ascii="Arial" w:hAnsi="Arial"/>
        </w:rPr>
        <w:t>zaimki pytające dotyczące wybranych wskaźników pojazdów mechanicznych</w:t>
      </w:r>
    </w:p>
    <w:p>
      <w:pPr>
        <w:pStyle w:val="Normal"/>
        <w:rPr>
          <w:rFonts w:ascii="Arial" w:hAnsi="Arial"/>
        </w:rPr>
      </w:pPr>
      <w:r>
        <w:rPr>
          <w:rFonts w:eastAsia="PoloZE22R-Leicht" w:cs="Tahoma" w:ascii="Arial" w:hAnsi="Arial"/>
        </w:rPr>
        <w:t xml:space="preserve">– </w:t>
      </w:r>
      <w:r>
        <w:rPr>
          <w:rFonts w:eastAsia="PoloZE22R-Leicht" w:cs="Tahoma" w:ascii="Arial" w:hAnsi="Arial"/>
        </w:rPr>
        <w:t>przyimki określające położenie przedmiotów</w:t>
      </w:r>
    </w:p>
    <w:p>
      <w:pPr>
        <w:pStyle w:val="Normal"/>
        <w:rPr>
          <w:rFonts w:ascii="Arial" w:hAnsi="Arial"/>
        </w:rPr>
      </w:pPr>
      <w:r>
        <w:rPr>
          <w:rFonts w:eastAsia="PoloZE22R-Leicht" w:cs="Tahoma" w:ascii="Arial" w:hAnsi="Arial"/>
        </w:rPr>
        <w:t xml:space="preserve">– </w:t>
      </w:r>
      <w:r>
        <w:rPr>
          <w:rFonts w:eastAsia="PoloZE22R-Leicht" w:cs="Tahoma" w:ascii="Arial" w:hAnsi="Arial"/>
        </w:rPr>
        <w:t>przyimki określające położenie wybranego przedmiotu</w:t>
      </w:r>
    </w:p>
    <w:p>
      <w:pPr>
        <w:pStyle w:val="Normal"/>
        <w:rPr>
          <w:rFonts w:ascii="Arial" w:hAnsi="Arial"/>
        </w:rPr>
      </w:pPr>
      <w:r>
        <w:rPr>
          <w:rFonts w:eastAsia="PoloZE22R-Leicht" w:cs="Tahoma" w:ascii="Arial" w:hAnsi="Arial"/>
        </w:rPr>
        <w:t xml:space="preserve">– </w:t>
      </w:r>
      <w:r>
        <w:rPr>
          <w:rFonts w:eastAsia="PoloZE22R-Leicht" w:cs="Tahoma" w:ascii="Arial" w:hAnsi="Arial"/>
        </w:rPr>
        <w:t>przyimek aus w funkcji opisu materiału wykonania produktu</w:t>
      </w:r>
    </w:p>
    <w:p>
      <w:pPr>
        <w:pStyle w:val="Normal"/>
        <w:rPr>
          <w:rFonts w:ascii="Arial" w:hAnsi="Arial"/>
        </w:rPr>
      </w:pPr>
      <w:r>
        <w:rPr>
          <w:rFonts w:eastAsia="PoloZE22R-Leicht" w:cs="Tahoma" w:ascii="Arial" w:hAnsi="Arial"/>
        </w:rPr>
        <w:t xml:space="preserve">– </w:t>
      </w:r>
      <w:r>
        <w:rPr>
          <w:rFonts w:eastAsia="PoloZE22R-Leicht" w:cs="Tahoma" w:ascii="Arial" w:hAnsi="Arial"/>
        </w:rPr>
        <w:t>okoliczniki czasu</w:t>
      </w:r>
    </w:p>
    <w:p>
      <w:pPr>
        <w:sectPr>
          <w:footerReference w:type="default" r:id="rId2"/>
          <w:type w:val="nextPage"/>
          <w:pgSz w:orient="landscape" w:w="16838" w:h="11906"/>
          <w:pgMar w:left="1418" w:right="1418" w:header="0" w:top="1418" w:footer="709" w:bottom="1418" w:gutter="0"/>
          <w:pgNumType w:fmt="decimal"/>
          <w:formProt w:val="false"/>
          <w:textDirection w:val="lrTb"/>
          <w:docGrid w:type="default" w:linePitch="360" w:charSpace="0"/>
        </w:sectPr>
        <w:pStyle w:val="Normal"/>
        <w:rPr>
          <w:rFonts w:ascii="Arial" w:hAnsi="Arial"/>
        </w:rPr>
      </w:pPr>
      <w:r>
        <w:rPr>
          <w:rFonts w:eastAsia="PoloZE22R-Leicht" w:cs="Tahoma" w:ascii="Arial" w:hAnsi="Arial"/>
        </w:rPr>
        <w:t xml:space="preserve">– </w:t>
      </w:r>
      <w:r>
        <w:rPr>
          <w:rFonts w:eastAsia="PoloZE22R-Leicht" w:cs="Tahoma" w:ascii="Arial" w:hAnsi="Arial"/>
        </w:rPr>
        <w:t>tworzenie zwrotów rzeczownikowo czasownikowych na podstawie rzeczowników złożonych</w:t>
      </w:r>
    </w:p>
    <w:p>
      <w:pPr>
        <w:pStyle w:val="Normal"/>
        <w:spacing w:before="360" w:after="240"/>
        <w:rPr>
          <w:rFonts w:ascii="Arial" w:hAnsi="Arial"/>
        </w:rPr>
      </w:pPr>
      <w:r>
        <w:rPr>
          <w:rFonts w:cs="Calibri" w:ascii="Arial" w:hAnsi="Arial"/>
          <w:b/>
        </w:rPr>
        <w:t xml:space="preserve">III. Kryteria oceny w zakresie szkolnych wymagań edukacyjnych: podstawowym i ponadpodstawowym </w:t>
      </w:r>
    </w:p>
    <w:tbl>
      <w:tblPr>
        <w:tblW w:w="1428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384"/>
        <w:gridCol w:w="1985"/>
        <w:gridCol w:w="2125"/>
        <w:gridCol w:w="2127"/>
        <w:gridCol w:w="2199"/>
        <w:gridCol w:w="2337"/>
        <w:gridCol w:w="2125"/>
      </w:tblGrid>
      <w:tr>
        <w:trPr>
          <w:tblHeader w:val="true"/>
        </w:trPr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Calibri"/>
                <w:b/>
                <w:b/>
                <w:sz w:val="20"/>
                <w:szCs w:val="20"/>
              </w:rPr>
            </w:pPr>
            <w:r>
              <w:rPr>
                <w:rFonts w:cs="Calibri" w:ascii="Arial" w:hAnsi="Arial"/>
                <w:b/>
                <w:sz w:val="20"/>
                <w:szCs w:val="20"/>
              </w:rPr>
              <w:t>WYMAGANIE</w:t>
            </w:r>
          </w:p>
        </w:tc>
        <w:tc>
          <w:tcPr>
            <w:tcW w:w="6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</w:tcPr>
          <w:p>
            <w:pPr>
              <w:pStyle w:val="Normal"/>
              <w:widowControl w:val="false"/>
              <w:jc w:val="center"/>
              <w:rPr>
                <w:rFonts w:ascii="Arial" w:hAnsi="Arial" w:cs="Calibri"/>
                <w:b/>
                <w:b/>
                <w:sz w:val="20"/>
                <w:szCs w:val="20"/>
              </w:rPr>
            </w:pPr>
            <w:r>
              <w:rPr>
                <w:rFonts w:cs="Calibri" w:ascii="Arial" w:hAnsi="Arial"/>
                <w:b/>
                <w:sz w:val="20"/>
                <w:szCs w:val="20"/>
              </w:rPr>
              <w:t>Poziom podstawowy</w:t>
            </w:r>
          </w:p>
        </w:tc>
        <w:tc>
          <w:tcPr>
            <w:tcW w:w="66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Calibri"/>
                <w:b/>
                <w:b/>
                <w:sz w:val="20"/>
                <w:szCs w:val="20"/>
              </w:rPr>
            </w:pPr>
            <w:r>
              <w:rPr>
                <w:rFonts w:cs="Calibri" w:ascii="Arial" w:hAnsi="Arial"/>
                <w:b/>
                <w:sz w:val="20"/>
                <w:szCs w:val="20"/>
              </w:rPr>
              <w:t>Poziom ponadpodstawowy</w:t>
            </w:r>
          </w:p>
        </w:tc>
      </w:tr>
      <w:tr>
        <w:trPr>
          <w:tblHeader w:val="true"/>
        </w:trPr>
        <w:tc>
          <w:tcPr>
            <w:tcW w:w="13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Calibri"/>
                <w:b/>
                <w:b/>
                <w:sz w:val="20"/>
                <w:szCs w:val="20"/>
              </w:rPr>
            </w:pPr>
            <w:r>
              <w:rPr>
                <w:rFonts w:cs="Calibri" w:ascii="Arial" w:hAnsi="Arial"/>
                <w:b/>
                <w:sz w:val="20"/>
                <w:szCs w:val="20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Calibri"/>
                <w:b/>
                <w:b/>
                <w:sz w:val="20"/>
                <w:szCs w:val="20"/>
              </w:rPr>
            </w:pPr>
            <w:r>
              <w:rPr>
                <w:rFonts w:cs="Calibri" w:ascii="Arial" w:hAnsi="Arial"/>
                <w:b/>
                <w:sz w:val="20"/>
                <w:szCs w:val="20"/>
              </w:rPr>
              <w:t>Ocena niedostateczna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Calibri"/>
                <w:b/>
                <w:b/>
                <w:sz w:val="20"/>
                <w:szCs w:val="20"/>
              </w:rPr>
            </w:pPr>
            <w:r>
              <w:rPr>
                <w:rFonts w:cs="Calibri" w:ascii="Arial" w:hAnsi="Arial"/>
                <w:b/>
                <w:sz w:val="20"/>
                <w:szCs w:val="20"/>
              </w:rPr>
              <w:t>Ocena dopuszczająca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Calibri"/>
                <w:b/>
                <w:b/>
                <w:sz w:val="20"/>
                <w:szCs w:val="20"/>
              </w:rPr>
            </w:pPr>
            <w:r>
              <w:rPr>
                <w:rFonts w:cs="Calibri" w:ascii="Arial" w:hAnsi="Arial"/>
                <w:b/>
                <w:sz w:val="20"/>
                <w:szCs w:val="20"/>
              </w:rPr>
              <w:t>Ocena dostateczna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Calibri"/>
                <w:b/>
                <w:b/>
                <w:sz w:val="20"/>
                <w:szCs w:val="20"/>
              </w:rPr>
            </w:pPr>
            <w:r>
              <w:rPr>
                <w:rFonts w:cs="Calibri" w:ascii="Arial" w:hAnsi="Arial"/>
                <w:b/>
                <w:sz w:val="20"/>
                <w:szCs w:val="20"/>
              </w:rPr>
              <w:t>Ocena dobra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Calibri"/>
                <w:b/>
                <w:b/>
                <w:sz w:val="20"/>
                <w:szCs w:val="20"/>
              </w:rPr>
            </w:pPr>
            <w:r>
              <w:rPr>
                <w:rFonts w:cs="Calibri" w:ascii="Arial" w:hAnsi="Arial"/>
                <w:b/>
                <w:sz w:val="20"/>
                <w:szCs w:val="20"/>
              </w:rPr>
              <w:t>Ocena bardzo dobra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Calibri"/>
                <w:b/>
                <w:b/>
                <w:sz w:val="20"/>
                <w:szCs w:val="20"/>
              </w:rPr>
            </w:pPr>
            <w:r>
              <w:rPr>
                <w:rFonts w:cs="Calibri" w:ascii="Arial" w:hAnsi="Arial"/>
                <w:b/>
                <w:sz w:val="20"/>
                <w:szCs w:val="20"/>
              </w:rPr>
              <w:t>Ocena celująca</w:t>
            </w:r>
          </w:p>
        </w:tc>
      </w:tr>
      <w:tr>
        <w:trPr>
          <w:trHeight w:val="1781" w:hRule="atLeast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120" w:after="0"/>
              <w:jc w:val="center"/>
              <w:rPr>
                <w:rFonts w:ascii="Arial" w:hAnsi="Arial" w:cs="Calibri"/>
                <w:b/>
                <w:b/>
                <w:sz w:val="20"/>
                <w:szCs w:val="20"/>
              </w:rPr>
            </w:pPr>
            <w:r>
              <w:rPr>
                <w:rFonts w:cs="Calibri" w:ascii="Arial" w:hAnsi="Arial"/>
                <w:b/>
                <w:sz w:val="20"/>
                <w:szCs w:val="20"/>
              </w:rPr>
              <w:t>Znajomość środków językowych</w:t>
            </w:r>
          </w:p>
          <w:p>
            <w:pPr>
              <w:pStyle w:val="Normal"/>
              <w:widowControl w:val="false"/>
              <w:spacing w:before="120" w:after="0"/>
              <w:jc w:val="center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cs="Calibri" w:ascii="Arial" w:hAnsi="Arial"/>
                <w:sz w:val="20"/>
                <w:szCs w:val="20"/>
              </w:rPr>
              <w:t>(leksyka i gramatyka)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ind w:right="-162" w:hanging="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cs="Calibri" w:ascii="Arial" w:hAnsi="Arial"/>
                <w:sz w:val="20"/>
                <w:szCs w:val="20"/>
              </w:rPr>
              <w:t>Uczeń operuje bardzo ubogim słownictwem, nie pozwalającym na komunikację nawet</w:t>
            </w:r>
          </w:p>
          <w:p>
            <w:pPr>
              <w:pStyle w:val="Normal"/>
              <w:widowControl w:val="false"/>
              <w:ind w:right="-162" w:hanging="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cs="Calibri" w:ascii="Arial" w:hAnsi="Arial"/>
                <w:sz w:val="20"/>
                <w:szCs w:val="20"/>
              </w:rPr>
              <w:t>z pomocą nauczyciela, nie zna struktur gramatycznych potrzebnych na danym etapie, nie rozumie poleceń i pytań nauczyciela, nie potrafi przekazywać informacji ani w formie ustnej, ani w formie pisemnej, nie konstruuje wypowiedzi, nie wykazuje żadnego zainteresowania przedmiotem i chęci poprawy zdobytych</w:t>
            </w:r>
          </w:p>
          <w:p>
            <w:pPr>
              <w:pStyle w:val="Normal"/>
              <w:widowControl w:val="false"/>
              <w:ind w:right="-162" w:hanging="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cs="Calibri" w:ascii="Arial" w:hAnsi="Arial"/>
                <w:sz w:val="20"/>
                <w:szCs w:val="20"/>
              </w:rPr>
              <w:t>z przedmiotu ocen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20" w:after="0"/>
              <w:ind w:right="-162" w:hanging="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cs="Calibri" w:ascii="Arial" w:hAnsi="Arial"/>
                <w:sz w:val="20"/>
                <w:szCs w:val="20"/>
              </w:rPr>
              <w:t>Uczeń posługuje się bardzo ograniczonym zakresem słownictwa, utrudniającym realizację poleceń bez pomocy nauczyciela; zna wybrane reguły gramatyczne;</w:t>
            </w:r>
          </w:p>
          <w:p>
            <w:pPr>
              <w:pStyle w:val="Normal"/>
              <w:widowControl w:val="false"/>
              <w:ind w:right="-162" w:hanging="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cs="Calibri" w:ascii="Arial" w:hAnsi="Arial"/>
                <w:sz w:val="20"/>
                <w:szCs w:val="20"/>
              </w:rPr>
              <w:t>w niewielkim stopniu stosuje poznane struktury gramatyczne; popełnia liczne błędy.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20" w:after="0"/>
              <w:ind w:right="-81" w:hanging="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cs="Calibri" w:ascii="Arial" w:hAnsi="Arial"/>
                <w:sz w:val="20"/>
                <w:szCs w:val="20"/>
              </w:rPr>
              <w:t>Uczeń zna i posługuje się podstawowym słownictwem</w:t>
            </w:r>
          </w:p>
          <w:p>
            <w:pPr>
              <w:pStyle w:val="Normal"/>
              <w:widowControl w:val="false"/>
              <w:ind w:right="-81" w:hanging="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cs="Calibri" w:ascii="Arial" w:hAnsi="Arial"/>
                <w:sz w:val="20"/>
                <w:szCs w:val="20"/>
              </w:rPr>
              <w:t>i wyrażeniami; często popełnia błędy w ich wymowie i zapisie; zna znaczną część podstawowych struktur gramatyczno-leksykalnych, jednak</w:t>
            </w:r>
          </w:p>
          <w:p>
            <w:pPr>
              <w:pStyle w:val="Normal"/>
              <w:widowControl w:val="false"/>
              <w:ind w:right="-81" w:hanging="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cs="Calibri" w:ascii="Arial" w:hAnsi="Arial"/>
                <w:sz w:val="20"/>
                <w:szCs w:val="20"/>
              </w:rPr>
              <w:t>z trudem potrafi je wykorzystać</w:t>
            </w:r>
          </w:p>
          <w:p>
            <w:pPr>
              <w:pStyle w:val="Normal"/>
              <w:widowControl w:val="false"/>
              <w:ind w:right="-81" w:hanging="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cs="Calibri" w:ascii="Arial" w:hAnsi="Arial"/>
                <w:sz w:val="20"/>
                <w:szCs w:val="20"/>
              </w:rPr>
              <w:t>w komunikacji.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20" w:after="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cs="Calibri" w:ascii="Arial" w:hAnsi="Arial"/>
                <w:sz w:val="20"/>
                <w:szCs w:val="20"/>
              </w:rPr>
              <w:t>Uczeń, popełniając nieliczne błędy, stosuje większość poznanych wyrazów i zwrotów;</w:t>
            </w:r>
          </w:p>
          <w:p>
            <w:pPr>
              <w:pStyle w:val="Normal"/>
              <w:widowControl w:val="false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cs="Calibri" w:ascii="Arial" w:hAnsi="Arial"/>
                <w:sz w:val="20"/>
                <w:szCs w:val="20"/>
              </w:rPr>
              <w:t xml:space="preserve">w większości poprawnie stosuje poznane struktury gramatyczne w zadaniach </w:t>
              <w:br/>
              <w:t>i własnych wypowiedziach; błędy nie zakłócają komunikacji.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20" w:after="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cs="Calibri" w:ascii="Arial" w:hAnsi="Arial"/>
                <w:sz w:val="20"/>
                <w:szCs w:val="20"/>
              </w:rPr>
              <w:t>Uczeń zna prawie wszystkie wprowadzone słówka i wyrażenia z wymienionych zakresów tematycznych, bezbłędnie je wymawia i zapisuje; poprawnie stosuje poznane struktury gramatyczne w zadaniach językowych i własnych wypowiedziach.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cs="Calibri" w:ascii="Arial" w:hAnsi="Arial"/>
                <w:sz w:val="20"/>
                <w:szCs w:val="20"/>
              </w:rPr>
              <w:t>Uczeń zna wszystkie wprowadzone słówka</w:t>
            </w:r>
          </w:p>
          <w:p>
            <w:pPr>
              <w:pStyle w:val="Normal"/>
              <w:widowControl w:val="false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cs="Calibri" w:ascii="Arial" w:hAnsi="Arial"/>
                <w:sz w:val="20"/>
                <w:szCs w:val="20"/>
              </w:rPr>
              <w:t>i wyrażenia z wymienionych  zakresów tematycznych, bezbłędnie je wymawia i zapisuje, poprawnie, swobodnie</w:t>
            </w:r>
          </w:p>
          <w:p>
            <w:pPr>
              <w:pStyle w:val="Normal"/>
              <w:widowControl w:val="false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cs="Calibri" w:ascii="Arial" w:hAnsi="Arial"/>
                <w:sz w:val="20"/>
                <w:szCs w:val="20"/>
              </w:rPr>
              <w:t>i adekwatnie do kontekstu stosuje poznane struktury gramatyczne, rozwija samodzielnie swoje umiejętności językowe i korzysta z tekstów kultury w języku obcym, aktywnie współdziała w grupie, wykazuje aktywność</w:t>
            </w:r>
          </w:p>
          <w:p>
            <w:pPr>
              <w:pStyle w:val="Normal"/>
              <w:widowControl w:val="false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cs="Calibri" w:ascii="Arial" w:hAnsi="Arial"/>
                <w:sz w:val="20"/>
                <w:szCs w:val="20"/>
              </w:rPr>
              <w:t>w zdobywaniu wiedzy o krajach, społeczeństwach i kulturach niemieckiego obszaru językowego oraz przekazywaniu wiedzy o własnej kulturze</w:t>
            </w:r>
          </w:p>
          <w:p>
            <w:pPr>
              <w:pStyle w:val="Normal"/>
              <w:widowControl w:val="false"/>
              <w:spacing w:before="120" w:after="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cs="Calibri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120" w:after="0"/>
              <w:jc w:val="center"/>
              <w:rPr>
                <w:rFonts w:ascii="Arial" w:hAnsi="Arial" w:cs="Calibri"/>
                <w:b/>
                <w:b/>
                <w:sz w:val="20"/>
                <w:szCs w:val="20"/>
              </w:rPr>
            </w:pPr>
            <w:r>
              <w:rPr>
                <w:rFonts w:cs="Calibri" w:ascii="Arial" w:hAnsi="Arial"/>
                <w:b/>
                <w:sz w:val="20"/>
                <w:szCs w:val="20"/>
              </w:rPr>
              <w:t>Rozumienie wypowiedzi</w:t>
            </w:r>
          </w:p>
          <w:p>
            <w:pPr>
              <w:pStyle w:val="Normal"/>
              <w:widowControl w:val="false"/>
              <w:spacing w:before="120" w:after="0"/>
              <w:jc w:val="center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cs="Calibri" w:ascii="Arial" w:hAnsi="Arial"/>
                <w:sz w:val="20"/>
                <w:szCs w:val="20"/>
              </w:rPr>
              <w:t>(ustnej i pisemnej)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cs="Calibri" w:ascii="Arial" w:hAnsi="Arial"/>
                <w:sz w:val="20"/>
                <w:szCs w:val="20"/>
              </w:rPr>
              <w:t>Uczeń nie rozumie poleceń nauczyciela</w:t>
            </w:r>
          </w:p>
          <w:p>
            <w:pPr>
              <w:pStyle w:val="Normal"/>
              <w:widowControl w:val="false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cs="Calibri" w:ascii="Arial" w:hAnsi="Arial"/>
                <w:sz w:val="20"/>
                <w:szCs w:val="20"/>
              </w:rPr>
              <w:t>i czytanych oraz słuchanych tekstów; nie realizuje zadań na rozumienie tekstu słuchanego i czytanego.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20" w:after="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cs="Calibri" w:ascii="Arial" w:hAnsi="Arial"/>
                <w:sz w:val="20"/>
                <w:szCs w:val="20"/>
              </w:rPr>
              <w:t xml:space="preserve">Uczeń rozumie niektóre polecenia nauczyciela; </w:t>
              <w:br/>
              <w:t xml:space="preserve">w tekstach słuchanych </w:t>
              <w:br/>
              <w:t>i czytanych rozumie pojedyncze, podstawowe słowa; zadania na rozumienie tekstu czytanego</w:t>
            </w:r>
          </w:p>
          <w:p>
            <w:pPr>
              <w:pStyle w:val="Normal"/>
              <w:widowControl w:val="false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cs="Calibri" w:ascii="Arial" w:hAnsi="Arial"/>
                <w:sz w:val="20"/>
                <w:szCs w:val="20"/>
              </w:rPr>
              <w:t>i słuchanego sprawiają mu trudność; popełnia liczne błędy.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20" w:after="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cs="Calibri" w:ascii="Arial" w:hAnsi="Arial"/>
                <w:sz w:val="20"/>
                <w:szCs w:val="20"/>
              </w:rPr>
              <w:t>Uczeń rozumie bez problemu polecenia nauczyciela; potrafi wykonać większość zadań na rozumienie ze słuchu, jeśli może kilkakrotnie odsłuchać teksty; rozumie ogólnie proste teksty pisane</w:t>
            </w:r>
          </w:p>
          <w:p>
            <w:pPr>
              <w:pStyle w:val="Normal"/>
              <w:widowControl w:val="false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cs="Calibri" w:ascii="Arial" w:hAnsi="Arial"/>
                <w:sz w:val="20"/>
                <w:szCs w:val="20"/>
              </w:rPr>
              <w:t>w zakresie znanych mu tematów i struktur,</w:t>
            </w:r>
          </w:p>
          <w:p>
            <w:pPr>
              <w:pStyle w:val="Normal"/>
              <w:widowControl w:val="false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cs="Calibri" w:ascii="Arial" w:hAnsi="Arial"/>
                <w:sz w:val="20"/>
                <w:szCs w:val="20"/>
              </w:rPr>
              <w:t>a także wiele informacji szczegółowych.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20" w:after="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cs="Calibri" w:ascii="Arial" w:hAnsi="Arial"/>
                <w:sz w:val="20"/>
                <w:szCs w:val="20"/>
              </w:rPr>
              <w:t>Uczeń rozumie wszystkie polecenia nauczyciela i na ogół poprawnie wykonuje zadania na rozumienie ze słuchu; rozumie większość informacji szczegółowych</w:t>
            </w:r>
          </w:p>
          <w:p>
            <w:pPr>
              <w:pStyle w:val="Normal"/>
              <w:widowControl w:val="false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cs="Calibri" w:ascii="Arial" w:hAnsi="Arial"/>
                <w:sz w:val="20"/>
                <w:szCs w:val="20"/>
              </w:rPr>
              <w:t>w tekście; czyta ze zrozumieniem większość tekstów z poznanych tematów, potrafi podać ogólny sens tekstu i wykonać zadania, popełniając nieliczne błędy.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20" w:after="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cs="Calibri" w:ascii="Arial" w:hAnsi="Arial"/>
                <w:sz w:val="20"/>
                <w:szCs w:val="20"/>
              </w:rPr>
              <w:t>Uczeń rozumie wszystkie polecenia nauczyciela oraz potrafi z tekstów czytanych i słuchanych zrozumieć i wyselekcjonować wszystkie potrzebne informacje; zadania na rozumienie wypowiedzi ustnej i pisemnej wykonuje bez większych błędów.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cs="Calibri" w:ascii="Arial" w:hAnsi="Arial"/>
                <w:sz w:val="20"/>
                <w:szCs w:val="20"/>
              </w:rPr>
              <w:t>Uczeń rozumie wszystkie polecenia nauczyciela oraz potrafi z tekstów czytanych</w:t>
            </w:r>
          </w:p>
          <w:p>
            <w:pPr>
              <w:pStyle w:val="Normal"/>
              <w:widowControl w:val="false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cs="Calibri" w:ascii="Arial" w:hAnsi="Arial"/>
                <w:sz w:val="20"/>
                <w:szCs w:val="20"/>
              </w:rPr>
              <w:t>i słuchanych zrozumieć i wyselekcjonować wszystkie potrzebne informacje; zadania na rozumienie wypowiedzi ustnej</w:t>
            </w:r>
          </w:p>
          <w:p>
            <w:pPr>
              <w:pStyle w:val="Normal"/>
              <w:widowControl w:val="false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cs="Calibri" w:ascii="Arial" w:hAnsi="Arial"/>
                <w:sz w:val="20"/>
                <w:szCs w:val="20"/>
              </w:rPr>
              <w:t>i pisemnej wykonuje bezbłędnie.</w:t>
            </w:r>
          </w:p>
        </w:tc>
      </w:tr>
      <w:tr>
        <w:trPr>
          <w:trHeight w:val="2732" w:hRule="atLeast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120" w:after="0"/>
              <w:jc w:val="center"/>
              <w:rPr>
                <w:rFonts w:ascii="Arial" w:hAnsi="Arial" w:cs="Calibri"/>
                <w:b/>
                <w:b/>
                <w:sz w:val="20"/>
                <w:szCs w:val="20"/>
              </w:rPr>
            </w:pPr>
            <w:r>
              <w:rPr>
                <w:rFonts w:cs="Calibri" w:ascii="Arial" w:hAnsi="Arial"/>
                <w:b/>
                <w:sz w:val="20"/>
                <w:szCs w:val="20"/>
              </w:rPr>
              <w:t>Tworzenie wypowiedzi</w:t>
            </w:r>
          </w:p>
          <w:p>
            <w:pPr>
              <w:pStyle w:val="Normal"/>
              <w:widowControl w:val="false"/>
              <w:spacing w:before="120" w:after="0"/>
              <w:jc w:val="center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cs="Calibri" w:ascii="Arial" w:hAnsi="Arial"/>
                <w:sz w:val="20"/>
                <w:szCs w:val="20"/>
              </w:rPr>
              <w:t>(ustnej i pisemnej)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cs="Calibri" w:ascii="Arial" w:hAnsi="Arial"/>
                <w:sz w:val="20"/>
                <w:szCs w:val="20"/>
              </w:rPr>
              <w:t>Uczeń nie tworzy wypowiedzi ustnej ani pisemnej.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20" w:after="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cs="Calibri" w:ascii="Arial" w:hAnsi="Arial"/>
                <w:sz w:val="20"/>
                <w:szCs w:val="20"/>
              </w:rPr>
              <w:t>Uczeń z trudem tworzy wypowiedzi ustne</w:t>
            </w:r>
          </w:p>
          <w:p>
            <w:pPr>
              <w:pStyle w:val="Normal"/>
              <w:widowControl w:val="false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cs="Calibri" w:ascii="Arial" w:hAnsi="Arial"/>
                <w:sz w:val="20"/>
                <w:szCs w:val="20"/>
              </w:rPr>
              <w:t>i pisemne; są to bardzo proste teksty tworzone według wzoru; popełnia liczne błędy językowe, które w znacznym stopniu wpływają na zrozumienie wypowiedzi.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20" w:after="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cs="Calibri" w:ascii="Arial" w:hAnsi="Arial"/>
                <w:sz w:val="20"/>
                <w:szCs w:val="20"/>
              </w:rPr>
              <w:t>Uczeń tworzy krótkie, kilkuzdaniowe wypowiedzi ustne</w:t>
            </w:r>
          </w:p>
          <w:p>
            <w:pPr>
              <w:pStyle w:val="Normal"/>
              <w:widowControl w:val="false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cs="Calibri" w:ascii="Arial" w:hAnsi="Arial"/>
                <w:sz w:val="20"/>
                <w:szCs w:val="20"/>
              </w:rPr>
              <w:t>i pisemne według wzoru, stosując mało urozmaicone słownictwo; popełnia błędy językowe, które w pewnym stopniu wpływają na zrozumienie wypowiedzi.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20" w:after="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cs="Calibri" w:ascii="Arial" w:hAnsi="Arial"/>
                <w:sz w:val="20"/>
                <w:szCs w:val="20"/>
              </w:rPr>
              <w:t>Uczeń potrafi w prosty sposób wypowiedzieć się ustnie i pisemnie na większość poznanych tematów, stosując</w:t>
            </w:r>
          </w:p>
          <w:p>
            <w:pPr>
              <w:pStyle w:val="Normal"/>
              <w:widowControl w:val="false"/>
              <w:spacing w:before="120" w:after="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cs="Calibri" w:ascii="Arial" w:hAnsi="Arial"/>
                <w:sz w:val="20"/>
                <w:szCs w:val="20"/>
              </w:rPr>
              <w:t>w miarę urozmaicone słownictwo i poznane struktury, nieliczne błędy nie mają wpływu na zrozumienie jego wypowiedzi.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20" w:after="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cs="Calibri" w:ascii="Arial" w:hAnsi="Arial"/>
                <w:sz w:val="20"/>
                <w:szCs w:val="20"/>
              </w:rPr>
              <w:t>Uczeń bez problemu wypowiada się na poznane tematy; jego wypowiedzi ustne</w:t>
            </w:r>
          </w:p>
          <w:p>
            <w:pPr>
              <w:pStyle w:val="Normal"/>
              <w:widowControl w:val="false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cs="Calibri" w:ascii="Arial" w:hAnsi="Arial"/>
                <w:sz w:val="20"/>
                <w:szCs w:val="20"/>
              </w:rPr>
              <w:t>i pisemne są wielozdaniowe; używa szerokiego zakresu słownictwa i struktur; stosuje właściwą formę i styl wypowiedzi.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cs="Calibri" w:ascii="Arial" w:hAnsi="Arial"/>
                <w:sz w:val="20"/>
                <w:szCs w:val="20"/>
              </w:rPr>
              <w:t>Uczeń swobodnie</w:t>
            </w:r>
          </w:p>
          <w:p>
            <w:pPr>
              <w:pStyle w:val="Normal"/>
              <w:widowControl w:val="false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cs="Calibri" w:ascii="Arial" w:hAnsi="Arial"/>
                <w:sz w:val="20"/>
                <w:szCs w:val="20"/>
              </w:rPr>
              <w:t>i tworzy wypowiedzi ustne i pisemne; używa szerokiego zakresu słownictwa i struktur, używa również leksyki zdobytej podczas samodzielnej pracy; stosuje właściwą formę i styl wypowiedzi.</w:t>
            </w:r>
          </w:p>
        </w:tc>
      </w:tr>
    </w:tbl>
    <w:p>
      <w:pPr>
        <w:pStyle w:val="Normal"/>
        <w:rPr>
          <w:rFonts w:ascii="Arial" w:hAnsi="Arial"/>
        </w:rPr>
      </w:pPr>
      <w:r>
        <w:rPr>
          <w:rFonts w:asciiTheme="majorHAnsi" w:hAnsiTheme="majorHAnsi" w:ascii="Arial" w:hAnsi="Arial"/>
        </w:rPr>
      </w:r>
      <w:r>
        <w:br w:type="page"/>
      </w:r>
    </w:p>
    <w:tbl>
      <w:tblPr>
        <w:tblW w:w="1428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384"/>
        <w:gridCol w:w="1985"/>
        <w:gridCol w:w="2125"/>
        <w:gridCol w:w="2127"/>
        <w:gridCol w:w="2199"/>
        <w:gridCol w:w="2337"/>
        <w:gridCol w:w="2125"/>
      </w:tblGrid>
      <w:tr>
        <w:trPr/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  <w:vAlign w:val="center"/>
          </w:tcPr>
          <w:p>
            <w:pPr>
              <w:pStyle w:val="Normal"/>
              <w:pageBreakBefore/>
              <w:widowControl w:val="false"/>
              <w:jc w:val="center"/>
              <w:rPr>
                <w:rFonts w:ascii="Arial" w:hAnsi="Arial" w:cs="Calibri"/>
                <w:b/>
                <w:b/>
                <w:sz w:val="20"/>
                <w:szCs w:val="20"/>
              </w:rPr>
            </w:pPr>
            <w:r>
              <w:rPr>
                <w:rFonts w:cs="Calibri" w:ascii="Arial" w:hAnsi="Arial"/>
                <w:b/>
                <w:sz w:val="20"/>
                <w:szCs w:val="20"/>
              </w:rPr>
              <w:t>WYMAGANIE</w:t>
            </w:r>
          </w:p>
        </w:tc>
        <w:tc>
          <w:tcPr>
            <w:tcW w:w="6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</w:tcPr>
          <w:p>
            <w:pPr>
              <w:pStyle w:val="Normal"/>
              <w:widowControl w:val="false"/>
              <w:jc w:val="center"/>
              <w:rPr>
                <w:rFonts w:ascii="Arial" w:hAnsi="Arial" w:cs="Calibri"/>
                <w:b/>
                <w:b/>
                <w:sz w:val="20"/>
                <w:szCs w:val="20"/>
              </w:rPr>
            </w:pPr>
            <w:r>
              <w:rPr>
                <w:rFonts w:cs="Calibri" w:ascii="Arial" w:hAnsi="Arial"/>
                <w:b/>
                <w:sz w:val="20"/>
                <w:szCs w:val="20"/>
              </w:rPr>
              <w:t>Poziom podstawowy</w:t>
            </w:r>
          </w:p>
        </w:tc>
        <w:tc>
          <w:tcPr>
            <w:tcW w:w="66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Calibri"/>
                <w:b/>
                <w:b/>
                <w:sz w:val="20"/>
                <w:szCs w:val="20"/>
              </w:rPr>
            </w:pPr>
            <w:r>
              <w:rPr>
                <w:rFonts w:cs="Calibri" w:ascii="Arial" w:hAnsi="Arial"/>
                <w:b/>
                <w:sz w:val="20"/>
                <w:szCs w:val="20"/>
              </w:rPr>
              <w:t>Poziom ponadpodstawowy</w:t>
            </w:r>
          </w:p>
        </w:tc>
      </w:tr>
      <w:tr>
        <w:trPr/>
        <w:tc>
          <w:tcPr>
            <w:tcW w:w="13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Calibri"/>
                <w:b/>
                <w:b/>
                <w:sz w:val="20"/>
                <w:szCs w:val="20"/>
              </w:rPr>
            </w:pPr>
            <w:r>
              <w:rPr>
                <w:rFonts w:cs="Calibri" w:ascii="Arial" w:hAnsi="Arial"/>
                <w:b/>
                <w:sz w:val="20"/>
                <w:szCs w:val="20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Calibri"/>
                <w:b/>
                <w:b/>
                <w:sz w:val="20"/>
                <w:szCs w:val="20"/>
              </w:rPr>
            </w:pPr>
            <w:r>
              <w:rPr>
                <w:rFonts w:cs="Calibri" w:ascii="Arial" w:hAnsi="Arial"/>
                <w:b/>
                <w:sz w:val="20"/>
                <w:szCs w:val="20"/>
              </w:rPr>
              <w:t>Ocena niedostateczna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Calibri"/>
                <w:b/>
                <w:b/>
                <w:sz w:val="20"/>
                <w:szCs w:val="20"/>
              </w:rPr>
            </w:pPr>
            <w:r>
              <w:rPr>
                <w:rFonts w:cs="Calibri" w:ascii="Arial" w:hAnsi="Arial"/>
                <w:b/>
                <w:sz w:val="20"/>
                <w:szCs w:val="20"/>
              </w:rPr>
              <w:t>Ocena dopuszczająca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Calibri"/>
                <w:b/>
                <w:b/>
                <w:sz w:val="20"/>
                <w:szCs w:val="20"/>
              </w:rPr>
            </w:pPr>
            <w:r>
              <w:rPr>
                <w:rFonts w:cs="Calibri" w:ascii="Arial" w:hAnsi="Arial"/>
                <w:b/>
                <w:sz w:val="20"/>
                <w:szCs w:val="20"/>
              </w:rPr>
              <w:t>Ocena dostateczna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Calibri"/>
                <w:b/>
                <w:b/>
                <w:sz w:val="20"/>
                <w:szCs w:val="20"/>
              </w:rPr>
            </w:pPr>
            <w:r>
              <w:rPr>
                <w:rFonts w:cs="Calibri" w:ascii="Arial" w:hAnsi="Arial"/>
                <w:b/>
                <w:sz w:val="20"/>
                <w:szCs w:val="20"/>
              </w:rPr>
              <w:t>Ocena dobra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Calibri"/>
                <w:b/>
                <w:b/>
                <w:sz w:val="20"/>
                <w:szCs w:val="20"/>
              </w:rPr>
            </w:pPr>
            <w:r>
              <w:rPr>
                <w:rFonts w:cs="Calibri" w:ascii="Arial" w:hAnsi="Arial"/>
                <w:b/>
                <w:sz w:val="20"/>
                <w:szCs w:val="20"/>
              </w:rPr>
              <w:t>Ocena bardzo dobra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Calibri"/>
                <w:b/>
                <w:b/>
                <w:sz w:val="20"/>
                <w:szCs w:val="20"/>
              </w:rPr>
            </w:pPr>
            <w:r>
              <w:rPr>
                <w:rFonts w:cs="Calibri" w:ascii="Arial" w:hAnsi="Arial"/>
                <w:b/>
                <w:sz w:val="20"/>
                <w:szCs w:val="20"/>
              </w:rPr>
              <w:t>Ocena celująca</w:t>
            </w:r>
          </w:p>
        </w:tc>
      </w:tr>
      <w:tr>
        <w:trPr/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120" w:after="0"/>
              <w:jc w:val="center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cs="Calibri" w:ascii="Arial" w:hAnsi="Arial"/>
                <w:b/>
                <w:sz w:val="20"/>
                <w:szCs w:val="20"/>
              </w:rPr>
              <w:t>Reagowanie</w:t>
            </w:r>
          </w:p>
          <w:p>
            <w:pPr>
              <w:pStyle w:val="Normal"/>
              <w:widowControl w:val="false"/>
              <w:spacing w:before="120" w:after="0"/>
              <w:jc w:val="center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cs="Calibri" w:ascii="Arial" w:hAnsi="Arial"/>
                <w:sz w:val="20"/>
                <w:szCs w:val="20"/>
              </w:rPr>
              <w:t>(ustne i pisemne)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cs="Calibri" w:ascii="Arial" w:hAnsi="Arial"/>
                <w:sz w:val="20"/>
                <w:szCs w:val="20"/>
              </w:rPr>
              <w:t>Uczeń nie rozumie wypowiedzi i pytań</w:t>
            </w:r>
          </w:p>
          <w:p>
            <w:pPr>
              <w:pStyle w:val="Normal"/>
              <w:widowControl w:val="false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cs="Calibri" w:ascii="Arial" w:hAnsi="Arial"/>
                <w:sz w:val="20"/>
                <w:szCs w:val="20"/>
              </w:rPr>
              <w:t>w obcym języku i nie potrafi na nie zareagować.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20" w:after="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cs="Calibri" w:ascii="Arial" w:hAnsi="Arial"/>
                <w:sz w:val="20"/>
                <w:szCs w:val="20"/>
              </w:rPr>
              <w:t>Uczeń z trudem nawiązuje komunikację z powodu słabej znajomości środków językowych</w:t>
            </w:r>
          </w:p>
          <w:p>
            <w:pPr>
              <w:pStyle w:val="Normal"/>
              <w:widowControl w:val="false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cs="Calibri" w:ascii="Arial" w:hAnsi="Arial"/>
                <w:sz w:val="20"/>
                <w:szCs w:val="20"/>
              </w:rPr>
              <w:t>i niepoprawnej wymowy; z pomocą nauczyciela odpowiada na proste pytania</w:t>
            </w:r>
          </w:p>
          <w:p>
            <w:pPr>
              <w:pStyle w:val="Normal"/>
              <w:widowControl w:val="false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cs="Calibri" w:ascii="Arial" w:hAnsi="Arial"/>
                <w:sz w:val="20"/>
                <w:szCs w:val="20"/>
              </w:rPr>
              <w:t>i prosi o udzielenie informacji, popełniając błędy, które</w:t>
            </w:r>
          </w:p>
          <w:p>
            <w:pPr>
              <w:pStyle w:val="Normal"/>
              <w:widowControl w:val="false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cs="Calibri" w:ascii="Arial" w:hAnsi="Arial"/>
                <w:sz w:val="20"/>
                <w:szCs w:val="20"/>
              </w:rPr>
              <w:t>w znacznym stopniu utrudniają komunikację.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20" w:after="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cs="Calibri" w:ascii="Arial" w:hAnsi="Arial"/>
                <w:sz w:val="20"/>
                <w:szCs w:val="20"/>
              </w:rPr>
              <w:t>Uczeń potrafi odpowiedzieć na pytania dotyczące go osobiście oraz</w:t>
            </w:r>
          </w:p>
          <w:p>
            <w:pPr>
              <w:pStyle w:val="Normal"/>
              <w:widowControl w:val="false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cs="Calibri" w:ascii="Arial" w:hAnsi="Arial"/>
                <w:sz w:val="20"/>
                <w:szCs w:val="20"/>
              </w:rPr>
              <w:t>z niewielką pomocą zadać proste pytanie rozmówcy na poznane tematy, komunikację zakłócają błędy</w:t>
            </w:r>
          </w:p>
          <w:p>
            <w:pPr>
              <w:pStyle w:val="Normal"/>
              <w:widowControl w:val="false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cs="Calibri" w:ascii="Arial" w:hAnsi="Arial"/>
                <w:sz w:val="20"/>
                <w:szCs w:val="20"/>
              </w:rPr>
              <w:t>w wymowie, intonacji lub w strukturach gramatycznych.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20" w:after="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cs="Calibri" w:ascii="Arial" w:hAnsi="Arial"/>
                <w:sz w:val="20"/>
                <w:szCs w:val="20"/>
              </w:rPr>
              <w:t>Uczeń udziela informacji i prosi o informacje związane z poznanymi tematami, popełniając nieliczne błędy językowe, które zwykle nie zakłócają komunikacji;</w:t>
            </w:r>
          </w:p>
          <w:p>
            <w:pPr>
              <w:pStyle w:val="Normal"/>
              <w:widowControl w:val="false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cs="Calibri" w:ascii="Arial" w:hAnsi="Arial"/>
                <w:sz w:val="20"/>
                <w:szCs w:val="20"/>
              </w:rPr>
              <w:t>w większości poprawnie reaguje na wypowiedzi rozmówcy, korzystając</w:t>
            </w:r>
          </w:p>
          <w:p>
            <w:pPr>
              <w:pStyle w:val="Normal"/>
              <w:widowControl w:val="false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cs="Calibri" w:ascii="Arial" w:hAnsi="Arial"/>
                <w:sz w:val="20"/>
                <w:szCs w:val="20"/>
              </w:rPr>
              <w:t>z poznanego słownictwa i zwrotów.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20" w:after="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cs="Calibri" w:ascii="Arial" w:hAnsi="Arial"/>
                <w:sz w:val="20"/>
                <w:szCs w:val="20"/>
              </w:rPr>
              <w:t>Uczeń bierze aktywny udział w rozmowie</w:t>
            </w:r>
          </w:p>
          <w:p>
            <w:pPr>
              <w:pStyle w:val="Normal"/>
              <w:widowControl w:val="false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cs="Calibri" w:ascii="Arial" w:hAnsi="Arial"/>
                <w:sz w:val="20"/>
                <w:szCs w:val="20"/>
              </w:rPr>
              <w:t>i komunikuje się pisemnie; w sposób swobodny udziela informacji i prosi o informacje związane z poznanymi tematami; prawidłowo reaguje na wypowiedzi rozmówcy i korzysta z szerokiego zasobu słownictwa i struktur gramatycznych.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cs="Calibri" w:ascii="Arial" w:hAnsi="Arial"/>
                <w:sz w:val="20"/>
                <w:szCs w:val="20"/>
              </w:rPr>
              <w:t>Uczeń swobodnie uczestniczy</w:t>
            </w:r>
          </w:p>
          <w:p>
            <w:pPr>
              <w:pStyle w:val="Normal"/>
              <w:widowControl w:val="false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cs="Calibri" w:ascii="Arial" w:hAnsi="Arial"/>
                <w:sz w:val="20"/>
                <w:szCs w:val="20"/>
              </w:rPr>
              <w:t>w rozmowie</w:t>
            </w:r>
          </w:p>
          <w:p>
            <w:pPr>
              <w:pStyle w:val="Normal"/>
              <w:widowControl w:val="false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cs="Calibri" w:ascii="Arial" w:hAnsi="Arial"/>
                <w:sz w:val="20"/>
                <w:szCs w:val="20"/>
              </w:rPr>
              <w:t>i komunikuje się pisemnie; używa szerokiego zakresu słownictwa i struktur, używa również leksyki zdobytej podczas samodzielnej pracy; stosuje właściwą formę i styl wypowiedzi.</w:t>
            </w:r>
          </w:p>
        </w:tc>
      </w:tr>
    </w:tbl>
    <w:p>
      <w:pPr>
        <w:pStyle w:val="Normal"/>
        <w:rPr>
          <w:rFonts w:ascii="Arial" w:hAnsi="Arial"/>
        </w:rPr>
      </w:pPr>
      <w:r>
        <w:rPr>
          <w:rFonts w:asciiTheme="majorHAnsi" w:hAnsiTheme="majorHAnsi" w:ascii="Arial" w:hAnsi="Arial"/>
        </w:rPr>
      </w:r>
    </w:p>
    <w:p>
      <w:pPr>
        <w:pStyle w:val="Tretekstu"/>
        <w:jc w:val="both"/>
        <w:rPr>
          <w:rFonts w:ascii="Arial" w:hAnsi="Arial"/>
        </w:rPr>
      </w:pPr>
      <w:r>
        <w:rPr>
          <w:rFonts w:eastAsia="Verdana" w:cs="Arial" w:ascii="Arial" w:hAnsi="Arial"/>
          <w:b/>
          <w:bCs/>
          <w:sz w:val="24"/>
          <w:szCs w:val="24"/>
          <w:u w:val="none"/>
        </w:rPr>
        <w:t xml:space="preserve">Nauczyciel jest zobowiązany dostosować wymagania edukacyjne do indywidualnych potrzeb rozwojowych i edukacyjnych oraz możliwości psychofizycznych ucznia: </w:t>
      </w:r>
    </w:p>
    <w:p>
      <w:pPr>
        <w:pStyle w:val="Tretekstu"/>
        <w:jc w:val="both"/>
        <w:rPr>
          <w:rFonts w:ascii="Arial" w:hAnsi="Arial"/>
        </w:rPr>
      </w:pPr>
      <w:r>
        <w:rPr>
          <w:rFonts w:cs="Arial" w:ascii="Arial" w:hAnsi="Arial"/>
          <w:b w:val="false"/>
          <w:bCs w:val="false"/>
          <w:sz w:val="24"/>
          <w:szCs w:val="24"/>
        </w:rPr>
        <w:t xml:space="preserve">1) posiadającego orzeczenie o potrzebie indywidualnego nauczania – na podstawie tego orzeczenia oraz ustaleń zawartych w IPET </w:t>
      </w:r>
    </w:p>
    <w:p>
      <w:pPr>
        <w:pStyle w:val="Tretekstu"/>
        <w:jc w:val="both"/>
        <w:rPr>
          <w:rFonts w:ascii="Arial" w:hAnsi="Arial"/>
        </w:rPr>
      </w:pPr>
      <w:r>
        <w:rPr>
          <w:rFonts w:cs="Arial" w:ascii="Arial" w:hAnsi="Arial"/>
          <w:b w:val="false"/>
          <w:bCs w:val="false"/>
          <w:sz w:val="24"/>
          <w:szCs w:val="24"/>
        </w:rPr>
        <w:t xml:space="preserve">2) posiadających opinię poradni psychologiczno - pedagogicznej, w tym poradni specjalistycznej, o specyficznych trudnościach w uczeniu się lub inną opinię poradni psychologiczno – pedagogicznej </w:t>
      </w:r>
    </w:p>
    <w:p>
      <w:pPr>
        <w:pStyle w:val="Tretekstu"/>
        <w:jc w:val="both"/>
        <w:rPr>
          <w:rFonts w:ascii="Arial" w:hAnsi="Arial"/>
        </w:rPr>
      </w:pPr>
      <w:r>
        <w:rPr>
          <w:rFonts w:cs="Arial" w:ascii="Arial" w:hAnsi="Arial"/>
          <w:b w:val="false"/>
          <w:bCs w:val="false"/>
          <w:sz w:val="24"/>
          <w:szCs w:val="24"/>
        </w:rPr>
        <w:t xml:space="preserve">3) nie posiadającego orzeczenia lub opinii wymienionych w pkt. 1 oraz 2, który objęty jest pomocą psychologiczno – pedagogiczną w szkole – na podstawie ustaleń zawartych w planie działań wspierających, opracowanym dla ucznia. </w:t>
      </w:r>
    </w:p>
    <w:p>
      <w:pPr>
        <w:pStyle w:val="Tretekstu"/>
        <w:spacing w:lineRule="auto" w:line="276" w:before="120" w:after="120"/>
        <w:jc w:val="both"/>
        <w:rPr>
          <w:rFonts w:ascii="Arial" w:hAnsi="Arial"/>
        </w:rPr>
      </w:pPr>
      <w:r>
        <w:rPr>
          <w:rFonts w:cs="Arial" w:ascii="Arial" w:hAnsi="Arial"/>
          <w:b w:val="false"/>
          <w:bCs w:val="false"/>
          <w:sz w:val="24"/>
          <w:szCs w:val="24"/>
        </w:rPr>
        <w:t xml:space="preserve">4) Przy ocenianiu bieżącym nauczyciel bierze pod uwagę własne obserwacje ucznia na lekcji. </w:t>
      </w:r>
    </w:p>
    <w:sectPr>
      <w:footerReference w:type="default" r:id="rId3"/>
      <w:type w:val="nextPage"/>
      <w:pgSz w:orient="landscape" w:w="16838" w:h="11906"/>
      <w:pgMar w:left="1418" w:right="1418" w:header="0" w:top="1418" w:footer="709" w:bottom="1418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Arial">
    <w:charset w:val="01"/>
    <w:family w:val="swiss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jc w:val="right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9</w:t>
    </w:r>
    <w:r>
      <w:rPr/>
      <w:fldChar w:fldCharType="end"/>
    </w:r>
  </w:p>
  <w:p>
    <w:pPr>
      <w:pStyle w:val="Stopka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jc w:val="right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12</w:t>
    </w:r>
    <w:r>
      <w:rPr/>
      <w:fldChar w:fldCharType="end"/>
    </w:r>
  </w:p>
  <w:p>
    <w:pPr>
      <w:pStyle w:val="Stopka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3904" w:hanging="360"/>
      </w:pPr>
    </w:lvl>
    <w:lvl w:ilvl="1">
      <w:start w:val="0"/>
      <w:numFmt w:val="bullet"/>
      <w:lvlText w:val="•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03910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SimSun" w:cs="Mangal"/>
      <w:color w:val="auto"/>
      <w:kern w:val="2"/>
      <w:sz w:val="24"/>
      <w:szCs w:val="24"/>
      <w:lang w:val="pl-PL" w:eastAsia="hi-I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podstawowyZnak" w:customStyle="1">
    <w:name w:val="Tekst podstawowy Znak"/>
    <w:basedOn w:val="DefaultParagraphFont"/>
    <w:link w:val="Tekstpodstawowy"/>
    <w:qFormat/>
    <w:rsid w:val="00803910"/>
    <w:rPr>
      <w:rFonts w:ascii="Times New Roman" w:hAnsi="Times New Roman" w:eastAsia="SimSun" w:cs="Mangal"/>
      <w:kern w:val="2"/>
      <w:sz w:val="24"/>
      <w:szCs w:val="24"/>
      <w:lang w:eastAsia="hi-IN" w:bidi="hi-IN"/>
    </w:rPr>
  </w:style>
  <w:style w:type="character" w:styleId="StopkaZnak" w:customStyle="1">
    <w:name w:val="Stopka Znak"/>
    <w:basedOn w:val="DefaultParagraphFont"/>
    <w:link w:val="Stopka"/>
    <w:uiPriority w:val="99"/>
    <w:qFormat/>
    <w:rsid w:val="00803910"/>
    <w:rPr>
      <w:rFonts w:ascii="Times New Roman" w:hAnsi="Times New Roman" w:eastAsia="SimSun" w:cs="Mangal"/>
      <w:kern w:val="2"/>
      <w:sz w:val="24"/>
      <w:szCs w:val="21"/>
      <w:lang w:eastAsia="hi-IN" w:bidi="hi-IN"/>
    </w:rPr>
  </w:style>
  <w:style w:type="character" w:styleId="NagwekZnak" w:customStyle="1">
    <w:name w:val="Nagłówek Znak"/>
    <w:basedOn w:val="DefaultParagraphFont"/>
    <w:link w:val="Nagwek"/>
    <w:uiPriority w:val="99"/>
    <w:semiHidden/>
    <w:qFormat/>
    <w:rsid w:val="00222d66"/>
    <w:rPr>
      <w:rFonts w:ascii="Times New Roman" w:hAnsi="Times New Roman" w:eastAsia="SimSun" w:cs="Mangal"/>
      <w:kern w:val="2"/>
      <w:sz w:val="24"/>
      <w:szCs w:val="21"/>
      <w:lang w:eastAsia="hi-IN" w:bidi="hi-IN"/>
    </w:rPr>
  </w:style>
  <w:style w:type="character" w:styleId="Strong">
    <w:name w:val="Strong"/>
    <w:basedOn w:val="DefaultParagraphFont"/>
    <w:uiPriority w:val="22"/>
    <w:qFormat/>
    <w:rsid w:val="008a03df"/>
    <w:rPr>
      <w:b/>
      <w:bCs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link w:val="TekstpodstawowyZnak"/>
    <w:rsid w:val="00803910"/>
    <w:pPr>
      <w:spacing w:before="0" w:after="120"/>
    </w:pPr>
    <w:rPr/>
  </w:style>
  <w:style w:type="paragraph" w:styleId="Lista">
    <w:name w:val="List"/>
    <w:basedOn w:val="Tretekstu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Gwkaistopka">
    <w:name w:val="Główka i stopka"/>
    <w:basedOn w:val="Normal"/>
    <w:qFormat/>
    <w:pPr/>
    <w:rPr/>
  </w:style>
  <w:style w:type="paragraph" w:styleId="Stopka">
    <w:name w:val="Footer"/>
    <w:basedOn w:val="Normal"/>
    <w:link w:val="StopkaZnak"/>
    <w:uiPriority w:val="99"/>
    <w:unhideWhenUsed/>
    <w:rsid w:val="00803910"/>
    <w:pPr>
      <w:tabs>
        <w:tab w:val="clear" w:pos="708"/>
        <w:tab w:val="center" w:pos="4536" w:leader="none"/>
        <w:tab w:val="right" w:pos="9072" w:leader="none"/>
      </w:tabs>
    </w:pPr>
    <w:rPr>
      <w:szCs w:val="21"/>
    </w:rPr>
  </w:style>
  <w:style w:type="paragraph" w:styleId="Gwka">
    <w:name w:val="Header"/>
    <w:basedOn w:val="Normal"/>
    <w:link w:val="NagwekZnak"/>
    <w:uiPriority w:val="99"/>
    <w:semiHidden/>
    <w:unhideWhenUsed/>
    <w:rsid w:val="00222d66"/>
    <w:pPr>
      <w:tabs>
        <w:tab w:val="clear" w:pos="708"/>
        <w:tab w:val="center" w:pos="4536" w:leader="none"/>
        <w:tab w:val="right" w:pos="9072" w:leader="none"/>
      </w:tabs>
    </w:pPr>
    <w:rPr>
      <w:szCs w:val="21"/>
    </w:rPr>
  </w:style>
  <w:style w:type="paragraph" w:styleId="ListParagraph">
    <w:name w:val="List Paragraph"/>
    <w:basedOn w:val="Normal"/>
    <w:uiPriority w:val="34"/>
    <w:qFormat/>
    <w:rsid w:val="001f1003"/>
    <w:pPr>
      <w:spacing w:before="0" w:after="0"/>
      <w:ind w:left="720" w:hanging="0"/>
      <w:contextualSpacing/>
    </w:pPr>
    <w:rPr>
      <w:szCs w:val="2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Application>LibreOffice/7.0.2.2$Windows_X86_64 LibreOffice_project/8349ace3c3162073abd90d81fd06dcfb6b36b994</Application>
  <Pages>12</Pages>
  <Words>2447</Words>
  <Characters>17831</Characters>
  <CharactersWithSpaces>20163</CharactersWithSpaces>
  <Paragraphs>303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2025-02-15T11:13:00Z</dcterms:created>
  <dc:creator>AB</dc:creator>
  <dc:description/>
  <dc:language>pl-PL</dc:language>
  <cp:lastModifiedBy/>
  <dcterms:modified xsi:type="dcterms:W3CDTF">2025-02-21T11:20:19Z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