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both"/>
        <w:rPr>
          <w:rFonts w:ascii="Tahoma" w:hAnsi="Tahoma" w:eastAsia="Times New Roman" w:cs="Tahoma"/>
          <w:b/>
          <w:b/>
          <w:sz w:val="28"/>
          <w:szCs w:val="28"/>
        </w:rPr>
      </w:pPr>
      <w:r>
        <w:rPr>
          <w:rFonts w:eastAsia="Times New Roman" w:cs="Tahoma" w:ascii="Tahoma" w:hAnsi="Tahoma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ahoma" w:hAnsi="Tahoma" w:eastAsia="Times New Roman" w:cs="Tahoma"/>
          <w:b/>
          <w:b/>
          <w:sz w:val="28"/>
          <w:szCs w:val="28"/>
        </w:rPr>
      </w:pPr>
      <w:r>
        <w:rPr>
          <w:rFonts w:eastAsia="Times New Roman" w:cs="Tahoma" w:ascii="Tahoma" w:hAnsi="Tahoma"/>
          <w:b/>
          <w:sz w:val="28"/>
          <w:szCs w:val="28"/>
        </w:rPr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sz w:val="44"/>
          <w:szCs w:val="44"/>
        </w:rPr>
        <w:t>WYMAGANIA EDUKACYJNE NA JĘZYKU NIEMIECKIM ZAWODOWYM</w:t>
      </w:r>
    </w:p>
    <w:p>
      <w:pPr>
        <w:pStyle w:val="Normal"/>
        <w:jc w:val="center"/>
        <w:rPr>
          <w:rFonts w:ascii="Arial" w:hAnsi="Arial"/>
        </w:rPr>
      </w:pPr>
      <w:r>
        <w:rPr>
          <w:rFonts w:ascii="Arial" w:hAnsi="Arial"/>
          <w:b w:val="false"/>
          <w:bCs w:val="false"/>
          <w:sz w:val="44"/>
          <w:szCs w:val="44"/>
        </w:rPr>
        <w:t xml:space="preserve">- </w:t>
      </w:r>
      <w:r>
        <w:rPr>
          <w:rFonts w:ascii="Arial" w:hAnsi="Arial"/>
          <w:b/>
          <w:bCs/>
          <w:sz w:val="44"/>
          <w:szCs w:val="44"/>
        </w:rPr>
        <w:t>KUCHARZ</w:t>
      </w:r>
    </w:p>
    <w:p>
      <w:pPr>
        <w:pStyle w:val="Normal"/>
        <w:jc w:val="center"/>
        <w:rPr>
          <w:rFonts w:ascii="Arial" w:hAnsi="Arial"/>
        </w:rPr>
      </w:pPr>
      <w:r>
        <w:rPr>
          <w:rFonts w:eastAsia="Arial" w:ascii="Arial" w:hAnsi="Arial"/>
          <w:b w:val="false"/>
          <w:bCs w:val="false"/>
          <w:sz w:val="44"/>
          <w:szCs w:val="44"/>
        </w:rPr>
        <w:t xml:space="preserve"> </w:t>
      </w:r>
      <w:r>
        <w:rPr>
          <w:rFonts w:ascii="Arial" w:hAnsi="Arial"/>
          <w:b w:val="false"/>
          <w:bCs w:val="false"/>
          <w:sz w:val="44"/>
          <w:szCs w:val="44"/>
        </w:rPr>
        <w:t>W KLASIE</w:t>
      </w:r>
      <w:r>
        <w:rPr>
          <w:rFonts w:ascii="Arial" w:hAnsi="Arial"/>
          <w:b/>
          <w:bCs/>
          <w:sz w:val="44"/>
          <w:szCs w:val="44"/>
        </w:rPr>
        <w:t xml:space="preserve"> III BRANŻOWA SZKOŁA  I STOPNIA</w:t>
      </w:r>
    </w:p>
    <w:p>
      <w:pPr>
        <w:pStyle w:val="Normal"/>
        <w:jc w:val="center"/>
        <w:rPr>
          <w:rFonts w:ascii="Arial" w:hAnsi="Arial"/>
          <w:b w:val="false"/>
          <w:b w:val="false"/>
          <w:bCs w:val="false"/>
          <w:sz w:val="44"/>
          <w:szCs w:val="44"/>
        </w:rPr>
      </w:pPr>
      <w:r>
        <w:rPr>
          <w:rFonts w:ascii="Arial" w:hAnsi="Arial"/>
          <w:b w:val="false"/>
          <w:bCs w:val="false"/>
          <w:sz w:val="44"/>
          <w:szCs w:val="44"/>
        </w:rPr>
      </w:r>
    </w:p>
    <w:p>
      <w:pPr>
        <w:pStyle w:val="Normal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</w:r>
    </w:p>
    <w:p>
      <w:pPr>
        <w:pStyle w:val="Normal"/>
        <w:rPr>
          <w:rFonts w:ascii="Arial" w:hAnsi="Arial"/>
          <w:b/>
          <w:b/>
          <w:bCs/>
          <w:sz w:val="36"/>
          <w:szCs w:val="36"/>
        </w:rPr>
      </w:pPr>
      <w:r>
        <w:rPr>
          <w:rFonts w:ascii="Arial" w:hAnsi="Arial"/>
          <w:b/>
          <w:bCs/>
          <w:sz w:val="36"/>
          <w:szCs w:val="36"/>
        </w:rPr>
      </w:r>
    </w:p>
    <w:p>
      <w:pPr>
        <w:pStyle w:val="Normal"/>
        <w:jc w:val="left"/>
        <w:rPr>
          <w:b/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ormal"/>
        <w:jc w:val="left"/>
        <w:rPr>
          <w:rFonts w:ascii="Arial" w:hAnsi="Arial"/>
        </w:rPr>
      </w:pPr>
      <w:r>
        <w:rPr>
          <w:rFonts w:ascii="Arial" w:hAnsi="Arial"/>
          <w:b/>
          <w:bCs/>
          <w:sz w:val="20"/>
          <w:szCs w:val="20"/>
        </w:rPr>
        <w:t>Nazwa programu: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b w:val="false"/>
          <w:bCs w:val="false"/>
          <w:sz w:val="20"/>
          <w:szCs w:val="20"/>
        </w:rPr>
        <w:t xml:space="preserve">PROGRAM NAUCZANIA ZAWODU KUCHARZ </w:t>
      </w:r>
      <w:r>
        <w:rPr>
          <w:rFonts w:eastAsia="Arial" w:cs="Arial" w:ascii="Arial" w:hAnsi="Arial"/>
          <w:b w:val="false"/>
          <w:bCs w:val="false"/>
          <w:color w:val="auto"/>
          <w:sz w:val="20"/>
          <w:szCs w:val="20"/>
        </w:rPr>
        <w:t>opracowany w oparciu o Rozporządzenie Ministra Edukacji Narodowej z dnia 16 maja 2019 r. w sprawie podstaw programowych kształcenia w zawodach szkolnictwa branżowego oraz dodatkowych umiejętności zawodowych w zakresie wybranych zawodów szkolnictwa branżowego w ramach projektu „Partnerstwo na rzecz kształcenia zawodowego. Etap 3. Edukacja zawodowa odpowiadająca potrzebom rynku pracy”, współfinansowanego ze środków Unii Europejskiej w ramach Europejskiego Funduszu Społecznego, realizowanego w latach 2018–2019</w:t>
      </w:r>
    </w:p>
    <w:p>
      <w:pPr>
        <w:pStyle w:val="Normal"/>
        <w:spacing w:before="0" w:after="86"/>
        <w:jc w:val="left"/>
        <w:rPr>
          <w:rFonts w:ascii="Arial" w:hAnsi="Arial"/>
        </w:rPr>
      </w:pPr>
      <w:r>
        <w:rPr>
          <w:rFonts w:ascii="Arial" w:hAnsi="Arial"/>
          <w:b/>
          <w:bCs/>
          <w:sz w:val="20"/>
          <w:szCs w:val="20"/>
        </w:rPr>
        <w:t>Źródło</w:t>
      </w:r>
      <w:r>
        <w:rPr>
          <w:rFonts w:ascii="Arial" w:hAnsi="Arial"/>
          <w:sz w:val="20"/>
          <w:szCs w:val="20"/>
        </w:rPr>
        <w:t xml:space="preserve">: </w:t>
      </w:r>
      <w:r>
        <w:rPr>
          <w:rFonts w:ascii="Arial" w:hAnsi="Arial"/>
          <w:b w:val="false"/>
          <w:bCs w:val="false"/>
          <w:sz w:val="20"/>
          <w:szCs w:val="20"/>
        </w:rPr>
        <w:t>ore.edu.pl</w:t>
      </w:r>
    </w:p>
    <w:p>
      <w:pPr>
        <w:pStyle w:val="Normal"/>
        <w:spacing w:before="0" w:after="86"/>
        <w:jc w:val="left"/>
        <w:rPr>
          <w:rFonts w:ascii="Arial" w:hAnsi="Arial"/>
        </w:rPr>
      </w:pPr>
      <w:r>
        <w:rPr>
          <w:rFonts w:eastAsia="Times New Roman" w:cs="Tahoma" w:ascii="Arial" w:hAnsi="Arial"/>
          <w:b/>
          <w:bCs/>
          <w:sz w:val="20"/>
          <w:szCs w:val="20"/>
        </w:rPr>
        <w:t>Opracowanie</w:t>
      </w:r>
      <w:r>
        <w:rPr>
          <w:rFonts w:eastAsia="Times New Roman" w:cs="Tahoma" w:ascii="Arial" w:hAnsi="Arial"/>
          <w:b/>
          <w:sz w:val="20"/>
          <w:szCs w:val="20"/>
        </w:rPr>
        <w:t xml:space="preserve">: </w:t>
      </w:r>
      <w:r>
        <w:rPr>
          <w:rFonts w:eastAsia="Times New Roman" w:cs="Tahoma" w:ascii="Arial" w:hAnsi="Arial"/>
          <w:b w:val="false"/>
          <w:bCs w:val="false"/>
          <w:sz w:val="20"/>
          <w:szCs w:val="20"/>
        </w:rPr>
        <w:t xml:space="preserve">nauczyciele języka niemieckiego </w:t>
      </w:r>
    </w:p>
    <w:p>
      <w:pPr>
        <w:pStyle w:val="Normal"/>
        <w:spacing w:lineRule="auto" w:line="240" w:before="0" w:after="0"/>
        <w:jc w:val="both"/>
        <w:rPr>
          <w:rFonts w:ascii="Arial" w:hAnsi="Arial" w:eastAsia="" w:cs="Arial" w:eastAsiaTheme="majorEastAsia"/>
          <w:b/>
          <w:b/>
          <w:sz w:val="20"/>
          <w:szCs w:val="20"/>
        </w:rPr>
      </w:pPr>
      <w:r>
        <w:rPr>
          <w:rFonts w:eastAsia="" w:cs="Arial" w:eastAsiaTheme="majorEastAsia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" w:cs="Arial" w:eastAsiaTheme="majorEastAsia"/>
          <w:b/>
          <w:b/>
          <w:sz w:val="20"/>
          <w:szCs w:val="20"/>
        </w:rPr>
      </w:pPr>
      <w:r>
        <w:rPr>
          <w:rFonts w:eastAsia="" w:cs="Arial" w:eastAsiaTheme="majorEastAsia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" w:cs="Arial" w:eastAsiaTheme="majorEastAsia"/>
          <w:b/>
          <w:b/>
          <w:sz w:val="20"/>
          <w:szCs w:val="20"/>
        </w:rPr>
      </w:pPr>
      <w:r>
        <w:rPr>
          <w:rFonts w:eastAsia="" w:cs="Arial" w:eastAsiaTheme="majorEastAsia" w:ascii="Arial" w:hAnsi="Arial"/>
          <w:b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" w:cs="Arial" w:eastAsiaTheme="majorEastAsia"/>
          <w:b/>
          <w:b/>
          <w:sz w:val="20"/>
          <w:szCs w:val="20"/>
        </w:rPr>
      </w:pPr>
      <w:r>
        <w:rPr>
          <w:rFonts w:eastAsia="" w:cs="Arial" w:eastAsiaTheme="majorEastAsia" w:ascii="Arial" w:hAnsi="Arial"/>
          <w:b/>
          <w:sz w:val="20"/>
          <w:szCs w:val="20"/>
        </w:rPr>
      </w:r>
    </w:p>
    <w:p>
      <w:pPr>
        <w:pStyle w:val="Normal"/>
        <w:spacing w:lineRule="auto" w:line="360"/>
        <w:jc w:val="both"/>
        <w:rPr>
          <w:rFonts w:ascii="Arial" w:hAnsi="Arial"/>
        </w:rPr>
      </w:pPr>
      <w:r>
        <w:rPr>
          <w:rFonts w:eastAsia="" w:cs="Arial" w:ascii="Arial" w:hAnsi="Arial" w:eastAsiaTheme="majorEastAsia"/>
          <w:b/>
          <w:sz w:val="20"/>
          <w:szCs w:val="20"/>
        </w:rPr>
        <w:t xml:space="preserve">MATERIAŁ NAUCZANIA </w:t>
      </w:r>
    </w:p>
    <w:tbl>
      <w:tblPr>
        <w:tblStyle w:val="Tabela-Siatka"/>
        <w:tblW w:w="1116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982"/>
        <w:gridCol w:w="1985"/>
        <w:gridCol w:w="3346"/>
        <w:gridCol w:w="3850"/>
      </w:tblGrid>
      <w:tr>
        <w:trPr/>
        <w:tc>
          <w:tcPr>
            <w:tcW w:w="198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Dział programowy</w:t>
            </w:r>
          </w:p>
        </w:tc>
        <w:tc>
          <w:tcPr>
            <w:tcW w:w="198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Tematy jednostek metodycznych</w:t>
            </w:r>
          </w:p>
        </w:tc>
        <w:tc>
          <w:tcPr>
            <w:tcW w:w="719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Wymagania programowe</w:t>
            </w:r>
          </w:p>
        </w:tc>
      </w:tr>
      <w:tr>
        <w:trPr>
          <w:trHeight w:val="411" w:hRule="atLeast"/>
        </w:trPr>
        <w:tc>
          <w:tcPr>
            <w:tcW w:w="1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198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334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Podstawowe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Uczeń potrafi:</w:t>
            </w:r>
          </w:p>
        </w:tc>
        <w:tc>
          <w:tcPr>
            <w:tcW w:w="38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Ponadpodstawowe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Uczeń potrafi:</w:t>
            </w:r>
          </w:p>
        </w:tc>
      </w:tr>
      <w:tr>
        <w:trPr>
          <w:trHeight w:val="1688" w:hRule="atLeast"/>
        </w:trPr>
        <w:tc>
          <w:tcPr>
            <w:tcW w:w="198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I. Podstawowe słownictwo dla gastronomii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1. Nazwy surowców, potraw, napojów, sprzętu i urządzeń gastronomicznych</w:t>
            </w:r>
          </w:p>
        </w:tc>
        <w:tc>
          <w:tcPr>
            <w:tcW w:w="33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przetłumaczyć nazwy surowców, potraw, napojów, sprzętu i urządzeń gastronomicznych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rozpoznać w wypowiedziach innych słownictwo związane z nazwami surowców, potraw, sprzętu i urządzeń</w:t>
            </w:r>
          </w:p>
        </w:tc>
        <w:tc>
          <w:tcPr>
            <w:tcW w:w="3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opisywać nazwy potraw, napojów, sprzętu i urządzeń gastronomicznych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posługiwać się słownictwem w języku obcym dotyczącym nazw surowców, potraw, sprzętu i urządzeń</w:t>
            </w:r>
          </w:p>
        </w:tc>
      </w:tr>
      <w:tr>
        <w:trPr/>
        <w:tc>
          <w:tcPr>
            <w:tcW w:w="1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2. Stanowisko pracy</w:t>
            </w:r>
          </w:p>
        </w:tc>
        <w:tc>
          <w:tcPr>
            <w:tcW w:w="33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nazywać w języku obcym stanowiska pracy w zakładzie gastronomicznym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określać w języku obcym stanowiska pracy w zakładzie gastronomicznym</w:t>
            </w:r>
          </w:p>
        </w:tc>
        <w:tc>
          <w:tcPr>
            <w:tcW w:w="3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opisywać w języku obcym stanowiska pracy i zadania kucharza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prowadzić rozmowę w języku obcym dotyczącą stanowiska pracy</w:t>
            </w:r>
          </w:p>
        </w:tc>
      </w:tr>
      <w:tr>
        <w:trPr/>
        <w:tc>
          <w:tcPr>
            <w:tcW w:w="1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3. Czynności zawodowe kucharza</w:t>
            </w:r>
          </w:p>
        </w:tc>
        <w:tc>
          <w:tcPr>
            <w:tcW w:w="33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nazywać w języku obcym czynności kucharza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przetłumaczyć z języka obcego opisy dotyczące czynności zawodowych kucharza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1" w:hanging="0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3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opisywać w języku obcym pracę kucharza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opisywać w języku obcym poszczególne etapy produkcji potraw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prowadzić rozmowę w języku obcym dotyczącą czynności zawodowych kucharza</w:t>
            </w:r>
          </w:p>
        </w:tc>
      </w:tr>
      <w:tr>
        <w:trPr/>
        <w:tc>
          <w:tcPr>
            <w:tcW w:w="1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4. Receptury gastronomiczne i karty menu</w:t>
            </w:r>
          </w:p>
        </w:tc>
        <w:tc>
          <w:tcPr>
            <w:tcW w:w="33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przetłumaczyć receptury gastronomiczne i karty menu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nazywać w języku obcym zwroty występujące w recepturach i kartach menu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przedstawiać w języku obcym informacje zawarte w recepturach gastronomicznych i kartach menu</w:t>
            </w:r>
          </w:p>
        </w:tc>
        <w:tc>
          <w:tcPr>
            <w:tcW w:w="3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przygotować w języku obcym receptury gastronomiczne i karty menu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analizować receptury gastronomiczne w języku obcym</w:t>
            </w:r>
          </w:p>
        </w:tc>
      </w:tr>
      <w:tr>
        <w:trPr/>
        <w:tc>
          <w:tcPr>
            <w:tcW w:w="198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II. Komunikacja w języku obcym w zakładzie gastronomicznym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1. Rozmowa z pracodawcą i współpracownikami</w:t>
            </w:r>
          </w:p>
        </w:tc>
        <w:tc>
          <w:tcPr>
            <w:tcW w:w="33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komunikować się z pracodawcą i współpracownikami w zakładzie gastronomicznym w celu wykonywania zadań zawodowych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stosować zwroty w formie grzecznościowej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dobrać styl wypowiedzi do sytuacji</w:t>
            </w:r>
          </w:p>
        </w:tc>
        <w:tc>
          <w:tcPr>
            <w:tcW w:w="3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stosować słownictwo zawodowe w trakcie wykonywania zadań zawodowych kucharza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posługiwać się językiem obcym podczas rozmów dotyczących pracy kucharza z pracodawcą oraz współpracownikami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173" w:hanging="0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</w:r>
          </w:p>
        </w:tc>
      </w:tr>
      <w:tr>
        <w:trPr/>
        <w:tc>
          <w:tcPr>
            <w:tcW w:w="1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2. Analiza ofert pracy i informacji reklamowych</w:t>
            </w:r>
          </w:p>
        </w:tc>
        <w:tc>
          <w:tcPr>
            <w:tcW w:w="33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oceniać oferty pracy w języku obcym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korzystać z obcojęzycznych portali internetowych przy wyszukiwaniu ofert pracy</w:t>
            </w:r>
          </w:p>
        </w:tc>
        <w:tc>
          <w:tcPr>
            <w:tcW w:w="3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analizować oferty pracy w języku obcym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stosować formalny lub nieformalny styl wypowiedzi adekwatnie do sytuacji</w:t>
            </w:r>
          </w:p>
        </w:tc>
      </w:tr>
      <w:tr>
        <w:trPr/>
        <w:tc>
          <w:tcPr>
            <w:tcW w:w="198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3. List motywacyjny i CV</w:t>
            </w:r>
          </w:p>
        </w:tc>
        <w:tc>
          <w:tcPr>
            <w:tcW w:w="33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sporządzać list motywacyjny i CV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przetłumaczyć list motywacyjny i CV na język obcy</w:t>
            </w:r>
          </w:p>
        </w:tc>
        <w:tc>
          <w:tcPr>
            <w:tcW w:w="3850" w:type="dxa"/>
            <w:tcBorders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analizować w języku obcym oferty pracy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opisywać swoje doświadczenie zawodowe w języku obcym</w:t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0" w:after="0"/>
              <w:ind w:left="173" w:hanging="142"/>
              <w:contextualSpacing/>
              <w:jc w:val="left"/>
              <w:rPr>
                <w:rFonts w:ascii="Arial" w:hAnsi="Arial" w:cs="Arial"/>
                <w:color w:val="auto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cs="Arial" w:ascii="Arial" w:hAnsi="Arial"/>
                <w:color w:val="auto"/>
                <w:kern w:val="0"/>
                <w:sz w:val="20"/>
                <w:szCs w:val="20"/>
                <w:lang w:val="pl-PL" w:eastAsia="pl-PL" w:bidi="ar-SA"/>
              </w:rPr>
              <w:t>prowadzić rozmowy kwalifikacyjne w języku obcym</w:t>
            </w:r>
          </w:p>
        </w:tc>
      </w:tr>
      <w:tr>
        <w:trPr/>
        <w:tc>
          <w:tcPr>
            <w:tcW w:w="19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b/>
                <w:b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b/>
                <w:kern w:val="0"/>
                <w:sz w:val="20"/>
                <w:szCs w:val="20"/>
                <w:lang w:val="pl-PL" w:eastAsia="pl-PL" w:bidi="ar-SA"/>
              </w:rPr>
              <w:t>Kompetencje personalne i społeczne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</w:r>
          </w:p>
        </w:tc>
        <w:tc>
          <w:tcPr>
            <w:tcW w:w="334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stosować aktywne metody słuchania współpracowników, klientów i gości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interpretować mowę ciała w komunikacji werbalnej  i niewerbalnej wyjaśnić znaczenie zmian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komunikować się efektywnie, szanować i nie oceniać rozmówcy, wyrażać i odbierać krytykę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stosować formy grzecznościowe w mowie i piśmie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wskazać rodzaje i możliwości doskonalenia się w zawodzie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planować rozwój zawodowy</w:t>
            </w:r>
          </w:p>
        </w:tc>
        <w:tc>
          <w:tcPr>
            <w:tcW w:w="3850" w:type="dxa"/>
            <w:tcBorders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uppressAutoHyphens w:val="true"/>
              <w:spacing w:lineRule="auto" w:line="240" w:before="0" w:after="0"/>
              <w:ind w:left="171" w:hanging="142"/>
              <w:contextualSpacing/>
              <w:jc w:val="left"/>
              <w:rPr>
                <w:rFonts w:ascii="Arial" w:hAnsi="Arial" w:eastAsia="" w:cs="Arial"/>
                <w:kern w:val="0"/>
                <w:sz w:val="20"/>
                <w:szCs w:val="20"/>
                <w:lang w:val="pl-PL" w:eastAsia="pl-PL" w:bidi="ar-SA"/>
              </w:rPr>
            </w:pPr>
            <w:r>
              <w:rPr>
                <w:rFonts w:eastAsia="" w:cs="Arial" w:ascii="Arial" w:hAnsi="Arial"/>
                <w:kern w:val="0"/>
                <w:sz w:val="20"/>
                <w:szCs w:val="20"/>
                <w:lang w:val="pl-PL" w:eastAsia="pl-PL" w:bidi="ar-SA"/>
              </w:rPr>
              <w:t>dokonać samooceny posiadanej wiedzy i umiejętności do odnalezienia się na rynku pracy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Arial" w:hAnsi="Arial" w:eastAsia="Times New Roman" w:cs="Tahoma"/>
          <w:b/>
          <w:b/>
          <w:sz w:val="28"/>
          <w:szCs w:val="28"/>
        </w:rPr>
      </w:pPr>
      <w:r>
        <w:rPr>
          <w:rFonts w:eastAsia="Times New Roman" w:cs="Tahoma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Tahoma"/>
          <w:b/>
          <w:b/>
          <w:sz w:val="28"/>
          <w:szCs w:val="28"/>
        </w:rPr>
      </w:pPr>
      <w:r>
        <w:rPr>
          <w:rFonts w:eastAsia="Times New Roman" w:cs="Tahoma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Tahoma"/>
          <w:b/>
          <w:b/>
          <w:sz w:val="28"/>
          <w:szCs w:val="28"/>
        </w:rPr>
      </w:pPr>
      <w:r>
        <w:rPr>
          <w:rFonts w:eastAsia="Times New Roman" w:cs="Tahoma" w:ascii="Arial" w:hAnsi="Arial"/>
          <w:b/>
          <w:sz w:val="28"/>
          <w:szCs w:val="28"/>
        </w:rPr>
      </w:r>
    </w:p>
    <w:p>
      <w:pPr>
        <w:pStyle w:val="Normal"/>
        <w:spacing w:before="360" w:after="240"/>
        <w:rPr>
          <w:rFonts w:ascii="Arial" w:hAnsi="Arial"/>
        </w:rPr>
      </w:pPr>
      <w:r>
        <w:rPr>
          <w:rFonts w:cs="Calibri" w:ascii="Arial" w:hAnsi="Arial"/>
          <w:b/>
        </w:rPr>
        <w:t xml:space="preserve">III Kryteria oceny w zakresie szkolnych wymagań edukacyjnych: podstawowym i ponadpodstawowym </w:t>
      </w:r>
    </w:p>
    <w:tbl>
      <w:tblPr>
        <w:tblW w:w="142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82"/>
        <w:gridCol w:w="1985"/>
        <w:gridCol w:w="2125"/>
        <w:gridCol w:w="2126"/>
        <w:gridCol w:w="2199"/>
        <w:gridCol w:w="2336"/>
        <w:gridCol w:w="2126"/>
      </w:tblGrid>
      <w:tr>
        <w:trPr>
          <w:tblHeader w:val="true"/>
        </w:trPr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WYMAGANIE</w:t>
            </w:r>
          </w:p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Poziom podstawowy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Poziom ponadpodstawowy</w:t>
            </w:r>
          </w:p>
        </w:tc>
      </w:tr>
      <w:tr>
        <w:trPr>
          <w:tblHeader w:val="true"/>
        </w:trPr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SimSun" w:cs="Calibri"/>
                <w:b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SimSun" w:cs="Calibri" w:ascii="Arial" w:hAnsi="Arial"/>
                <w:b/>
                <w:kern w:val="2"/>
                <w:sz w:val="20"/>
                <w:szCs w:val="20"/>
                <w:lang w:eastAsia="hi-IN" w:bidi="hi-IN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niedostateczna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dostateczna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dobra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bardzo dobra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celująca</w:t>
            </w:r>
          </w:p>
        </w:tc>
      </w:tr>
      <w:tr>
        <w:trPr>
          <w:trHeight w:val="854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Znajomość środków językowych</w:t>
            </w:r>
          </w:p>
          <w:p>
            <w:pPr>
              <w:pStyle w:val="Normal"/>
              <w:widowControl w:val="false"/>
              <w:suppressAutoHyphens w:val="true"/>
              <w:spacing w:before="120" w:after="20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(leksyka i gramatyka)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ind w:right="-162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operuje bardzo ubogim słownictwem, nie pozwalającym na komunikację nawet z pomocą nauczyciela, nie zna struktur gramatycznych potrzebnych na danym etapie, nie rozumie poleceń i pytań nauczyciela, nie potrafi przekazywać informacji ani w formie ustnej, ani w formie pisemnej, nie konstruuje wypowiedzi, nie wykazuje żadnego zainteresowania przedmiotem i chęci poprawy zdobytych z przedmiotu ocen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ind w:right="-162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posługuje się bardzo ograniczonym zakresem słownictwa, utrudniającym realizację poleceń bez pomocy nauczyciela; zna wybrane reguły gramatyczne; w niewielkim stopniu stosuje poznane struktury gramatyczne; popełnia liczne błędy.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ind w:right="-81" w:hanging="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zna i posługuje się podstawowym słownictwem i wyrażeniami; często popełnia błędy w ich wymowie i zapisie; zna znaczną część podstawowych struktur gramatyczno-leksykalnych, jednak z trudem potrafi je wykorzystać w komunikacji.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 xml:space="preserve">Uczeń, popełniając nieliczne błędy, stosuje większość poznanych wyrazów i zwrotów; w większości poprawnie stosuje poznane struktury gramatyczne w zadaniach </w:t>
              <w:br/>
              <w:t>i własnych wypowiedziach; błędy nie zakłócają komunikacji.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zna prawie wszystkie wprowadzone słówka i wyrażenia z wymienionych zakresów tematycznych, bezbłędnie je wymawia i zapisuje; poprawnie stosuje poznane struktury gramatyczne w zadaniach językowych i własnych wypowiedziach.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zna wszystkie wprowadzone słówka i wyrażenia z wymienionych  zakresów tematycznych, bezbłędnie je wymawia i zapisuje, poprawnie, swobodnie i adekwatnie do kontekstu stosuje poznane struktury gramatyczne, rozwija samodzielnie swoje umiejętności językowe i korzysta z tekstów kultury w języku obcym, aktywnie współdziała w grupie, wykazuje aktywność w zdobywaniu wiedzy o krajach, społeczeństwach i kulturach niemieckiego obszaru językowego oraz przekazywaniu wiedzy o własnej kulturze</w:t>
            </w:r>
          </w:p>
          <w:p>
            <w:pPr>
              <w:pStyle w:val="Normal"/>
              <w:widowControl w:val="false"/>
              <w:suppressAutoHyphens w:val="true"/>
              <w:spacing w:before="120" w:after="200"/>
              <w:rPr>
                <w:rFonts w:ascii="Arial" w:hAnsi="Arial" w:eastAsia="SimSun" w:cs="Calibri"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SimSun" w:cs="Calibri" w:ascii="Arial" w:hAnsi="Arial"/>
                <w:kern w:val="2"/>
                <w:sz w:val="20"/>
                <w:szCs w:val="20"/>
                <w:lang w:eastAsia="hi-IN" w:bidi="hi-IN"/>
              </w:rPr>
            </w:r>
          </w:p>
        </w:tc>
      </w:tr>
      <w:tr>
        <w:trPr/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Rozumienie wypowiedzi</w:t>
            </w:r>
          </w:p>
          <w:p>
            <w:pPr>
              <w:pStyle w:val="Normal"/>
              <w:widowControl w:val="false"/>
              <w:suppressAutoHyphens w:val="true"/>
              <w:spacing w:before="120" w:after="20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(ustnej i pisemnej)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nie rozumie poleceń nauczyciela i czytanych oraz słuchanych tekstów; nie realizuje zadań na rozumienie tekstu słuchanego i czytanego.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 xml:space="preserve">Uczeń rozumie niektóre polecenia nauczyciela; </w:t>
              <w:br/>
              <w:t xml:space="preserve">w tekstach słuchanych </w:t>
              <w:br/>
              <w:t>i czytanych rozumie pojedyncze, podstawowe słowa; zadania na rozumienie tekstu czytanego i słuchanego sprawiają mu trudność; popełnia liczne błędy.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rozumie bez problemu polecenia nauczyciela; potrafi wykonać większość zadań na rozumienie ze słuchu, jeśli może kilkakrotnie odsłuchać teksty; rozumie ogólnie proste teksty pisane w zakresie znanych mu tematów i struktur, a także wiele informacji szczegółowych.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rozumie wszystkie polecenia nauczyciela i na ogół poprawnie wykonuje zadania na rozumienie ze słuchu; rozumie większość informacji szczegółowych w tekście; czyta ze zrozumieniem większość tekstów z poznanych tematów, potrafi podać ogólny sens tekstu i wykonać zadania, popełniając nieliczne błędy.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rozumie wszystkie polecenia nauczyciela oraz potrafi z tekstów czytanych i słuchanych zrozumieć  i wyselekcjonować wszystkie potrzebne informacje; zadania na rozumienie wypowiedzi ustnej i pisemnej wykonuje bez większych błędów.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rozumie wszystkie polecenia nauczyciela oraz potrafi z tekstów czytanych i słuchanych zrozumieć i wyselekcjonować wszystkie potrzebne informacje; zadania na rozumienie wypowiedzi ustneji pisemnej wykonuje bezbłędnie.</w:t>
            </w:r>
          </w:p>
        </w:tc>
      </w:tr>
      <w:tr>
        <w:trPr>
          <w:trHeight w:val="2732" w:hRule="atLeast"/>
        </w:trPr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Tworzenie wypowiedzi</w:t>
            </w:r>
          </w:p>
          <w:p>
            <w:pPr>
              <w:pStyle w:val="Normal"/>
              <w:widowControl w:val="false"/>
              <w:suppressAutoHyphens w:val="true"/>
              <w:spacing w:before="120" w:after="20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(ustnej i pisemnej)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nie tworzy wypowiedzi ustnej ani pisemnej.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 trudem tworzy wypowiedzi ustne</w:t>
            </w:r>
          </w:p>
          <w:p>
            <w:pPr>
              <w:pStyle w:val="Normal"/>
              <w:widowControl w:val="false"/>
              <w:suppressAutoHyphens w:val="true"/>
              <w:spacing w:before="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i pisemne; są to bardzo proste teksty tworzone według wzoru; popełnia liczne błędy językowe, które w znacznym stopniu wpływają na zrozumienie wypowiedzi.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tworzy krótkie, kilkuzdaniowe wypowiedzi ustne i pisemne według wzoru, stosując mało urozmaicone słownictwo; popełnia błędy językowe, które w pewnym stopniu wpływają na zrozumienie wypowiedzi.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potrafi w prosty sposób wypowiedzieć się ustnie i pisemnie na większość poznanych tematów, stosując w miarę urozmaicone słownictwo i poznane struktury, nieliczne błędy nie mają wpływu na zrozumienie jego wypowiedzi.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bez problemu wypowiada się na poznane tematy; jego wypowiedzi ustne i pisemne są wielozdaniowe; używa szerokiego zakresu słownictwa i struktur; stosuje właściwą formę i styl wypowiedzi.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swobodnie i tworzy wypowiedzi ustne i pisemne; używa szerokiego zakresu słownictwa i struktur, używa również leksyki zdobytej podczas samodzielnej pracy; stosuje właściwą formę i styl wypowiedzi.</w:t>
            </w:r>
          </w:p>
        </w:tc>
      </w:tr>
    </w:tbl>
    <w:p>
      <w:pPr>
        <w:pStyle w:val="Normal"/>
        <w:rPr>
          <w:rFonts w:ascii="Arial" w:hAnsi="Arial" w:eastAsia="SimSun" w:cs="Mangal"/>
          <w:kern w:val="2"/>
          <w:lang w:eastAsia="hi-IN" w:bidi="hi-IN"/>
        </w:rPr>
      </w:pPr>
      <w:r>
        <w:rPr>
          <w:rFonts w:eastAsia="SimSun" w:cs="Mangal" w:ascii="Arial" w:hAnsi="Arial"/>
          <w:kern w:val="2"/>
          <w:lang w:eastAsia="hi-IN" w:bidi="hi-IN"/>
        </w:rPr>
      </w:r>
      <w:r>
        <w:br w:type="page"/>
      </w:r>
    </w:p>
    <w:tbl>
      <w:tblPr>
        <w:tblW w:w="1428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382"/>
        <w:gridCol w:w="1985"/>
        <w:gridCol w:w="2125"/>
        <w:gridCol w:w="2126"/>
        <w:gridCol w:w="2199"/>
        <w:gridCol w:w="2336"/>
        <w:gridCol w:w="2126"/>
      </w:tblGrid>
      <w:tr>
        <w:trPr>
          <w:tblHeader w:val="true"/>
        </w:trPr>
        <w:tc>
          <w:tcPr>
            <w:tcW w:w="1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pageBreakBefore/>
              <w:widowControl w:val="false"/>
              <w:suppressAutoHyphens w:val="tru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WYMAGANIE</w:t>
            </w:r>
          </w:p>
        </w:tc>
        <w:tc>
          <w:tcPr>
            <w:tcW w:w="62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Poziom podstawowy</w:t>
            </w:r>
          </w:p>
        </w:tc>
        <w:tc>
          <w:tcPr>
            <w:tcW w:w="66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Poziom ponadpodstawowy</w:t>
            </w:r>
          </w:p>
        </w:tc>
      </w:tr>
      <w:tr>
        <w:trPr>
          <w:tblHeader w:val="true"/>
        </w:trPr>
        <w:tc>
          <w:tcPr>
            <w:tcW w:w="13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rFonts w:ascii="Arial" w:hAnsi="Arial" w:eastAsia="SimSun" w:cs="Calibri"/>
                <w:b/>
                <w:b/>
                <w:kern w:val="2"/>
                <w:sz w:val="20"/>
                <w:szCs w:val="20"/>
                <w:lang w:eastAsia="hi-IN" w:bidi="hi-IN"/>
              </w:rPr>
            </w:pPr>
            <w:r>
              <w:rPr>
                <w:rFonts w:eastAsia="SimSun" w:cs="Calibri" w:ascii="Arial" w:hAnsi="Arial"/>
                <w:b/>
                <w:kern w:val="2"/>
                <w:sz w:val="20"/>
                <w:szCs w:val="20"/>
                <w:lang w:eastAsia="hi-IN" w:bidi="hi-IN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niedostateczna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dopuszczająca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dostateczna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dobra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bardzo dobra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E2F3" w:val="clear"/>
            <w:vAlign w:val="center"/>
          </w:tcPr>
          <w:p>
            <w:pPr>
              <w:pStyle w:val="Normal"/>
              <w:widowControl w:val="false"/>
              <w:suppressAutoHyphens w:val="true"/>
              <w:snapToGrid w:val="false"/>
              <w:spacing w:before="0" w:after="200"/>
              <w:jc w:val="center"/>
              <w:rPr>
                <w:rFonts w:ascii="Arial" w:hAnsi="Arial" w:cs="Calibri"/>
                <w:b/>
                <w:b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Ocena celująca</w:t>
            </w:r>
          </w:p>
        </w:tc>
      </w:tr>
      <w:tr>
        <w:trPr/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120" w:after="20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b/>
                <w:sz w:val="20"/>
                <w:szCs w:val="20"/>
              </w:rPr>
              <w:t>Reagowanie</w:t>
            </w:r>
          </w:p>
          <w:p>
            <w:pPr>
              <w:pStyle w:val="Normal"/>
              <w:widowControl w:val="false"/>
              <w:suppressAutoHyphens w:val="true"/>
              <w:spacing w:before="120" w:after="200"/>
              <w:jc w:val="center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(ustne i pisemne)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nie rozumie wypowiedzi i pytań w obcym języku i nie potrafi na nie zareagować.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z trudem nawiązuje komunikację z powodu słabej znajomości środków językowych</w:t>
            </w:r>
            <w:r>
              <w:rPr>
                <w:rFonts w:eastAsia="SimSun" w:cs="Calibri" w:ascii="Arial" w:hAnsi="Arial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cs="Calibri" w:ascii="Arial" w:hAnsi="Arial"/>
                <w:sz w:val="20"/>
                <w:szCs w:val="20"/>
              </w:rPr>
              <w:t xml:space="preserve">i niepoprawnej wymowy; z pomocą nauczyciela odpowiada na proste pytania i prosi o udzielenie informacji, popełniając błędy, które </w:t>
            </w:r>
            <w:r>
              <w:rPr>
                <w:rFonts w:eastAsia="SimSun" w:cs="Calibri" w:ascii="Arial" w:hAnsi="Arial"/>
                <w:kern w:val="2"/>
                <w:sz w:val="20"/>
                <w:szCs w:val="20"/>
                <w:lang w:eastAsia="hi-IN" w:bidi="hi-IN"/>
              </w:rPr>
              <w:t xml:space="preserve"> </w:t>
            </w:r>
            <w:r>
              <w:rPr>
                <w:rFonts w:cs="Calibri" w:ascii="Arial" w:hAnsi="Arial"/>
                <w:sz w:val="20"/>
                <w:szCs w:val="20"/>
              </w:rPr>
              <w:t>w znacznym stopniu utrudniają komunikację.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potrafi odpowiedzieć na pytania dotyczące go osobiście oraz z niewielką pomocą zadać proste pytanie rozmówcy na poznane tematy, komunikację zakłócają błędy w wymowie, intonacji lub w strukturach gramatycznych.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udziela informacji i prosi o informacje związane z poznanymi tematami, popełniając nieliczne błędy językowe, które zwykle nie zakłócają komunikacji; w większości poprawnie reaguje na wypowiedzi rozmówcy, korzystając z poznanego słownictwa i zwrotów.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bierze aktywny udział w rozmowiei komunikuje się pisemnie; w sposób swobodny udziela informacji i prosi o informacje związane z poznanymi tematami; prawidłowo reaguje na wypowiedzi rozmówcy i korzysta z szerokiego zasobu słownictwa i struktur gramatycznych.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120" w:after="200"/>
              <w:rPr>
                <w:rFonts w:ascii="Arial" w:hAnsi="Arial" w:cs="Calibri"/>
                <w:sz w:val="20"/>
                <w:szCs w:val="20"/>
              </w:rPr>
            </w:pPr>
            <w:r>
              <w:rPr>
                <w:rFonts w:cs="Calibri" w:ascii="Arial" w:hAnsi="Arial"/>
                <w:sz w:val="20"/>
                <w:szCs w:val="20"/>
              </w:rPr>
              <w:t>Uczeń swobodnie uczestniczy w rozmowiei komunikuje się pisemnie; używa szerokiego zakresu słownictwa i struktur, używa również leksyki zdobytej podczas samodzielnej pracy; stosuje właściwą formę i styl wypowiedzi.</w:t>
            </w:r>
          </w:p>
        </w:tc>
      </w:tr>
    </w:tbl>
    <w:p>
      <w:pPr>
        <w:pStyle w:val="Normal"/>
        <w:rPr>
          <w:rFonts w:ascii="Arial" w:hAnsi="Arial" w:eastAsia="SimSun" w:cs="Mangal"/>
          <w:kern w:val="2"/>
          <w:lang w:eastAsia="hi-IN" w:bidi="hi-IN"/>
        </w:rPr>
      </w:pPr>
      <w:r>
        <w:rPr>
          <w:rFonts w:eastAsia="SimSun" w:cs="Mangal" w:ascii="Arial" w:hAnsi="Arial"/>
          <w:kern w:val="2"/>
          <w:lang w:eastAsia="hi-IN" w:bidi="hi-IN"/>
        </w:rPr>
      </w:r>
    </w:p>
    <w:p>
      <w:pPr>
        <w:pStyle w:val="Tretekstu"/>
        <w:spacing w:before="0" w:after="26"/>
        <w:jc w:val="both"/>
        <w:rPr>
          <w:rFonts w:ascii="Arial" w:hAnsi="Arial"/>
        </w:rPr>
      </w:pPr>
      <w:r>
        <w:rPr>
          <w:rFonts w:eastAsia="Verdana" w:cs="Arial" w:ascii="Arial" w:hAnsi="Arial"/>
          <w:b/>
          <w:bCs/>
          <w:sz w:val="24"/>
          <w:szCs w:val="24"/>
          <w:u w:val="none"/>
        </w:rPr>
        <w:t xml:space="preserve">Nauczyciel jest zobowiązany dostosować wymagania edukacyjne do indywidualnych potrzeb rozwojowych i edukacyjnych oraz możliwości psychofizycznych ucznia: </w:t>
      </w:r>
    </w:p>
    <w:p>
      <w:pPr>
        <w:pStyle w:val="Tretekstu"/>
        <w:spacing w:before="0" w:after="26"/>
        <w:jc w:val="both"/>
        <w:rPr>
          <w:rFonts w:ascii="Arial" w:hAnsi="Arial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1) posiadającego orzeczenie o potrzebie indywidualnego nauczania – na podstawie tego orzeczenia oraz ustaleń zawartych w IPET </w:t>
      </w:r>
    </w:p>
    <w:p>
      <w:pPr>
        <w:pStyle w:val="Tretekstu"/>
        <w:spacing w:before="0" w:after="26"/>
        <w:jc w:val="both"/>
        <w:rPr>
          <w:rFonts w:ascii="Arial" w:hAnsi="Arial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2) posiadających opinię poradni psychologiczno - pedagogicznej, w tym poradni specjalistycznej, o specyficznych trudnościach w uczeniu się lub inną opinię poradni psychologiczno – pedagogicznej </w:t>
      </w:r>
    </w:p>
    <w:p>
      <w:pPr>
        <w:pStyle w:val="Tretekstu"/>
        <w:spacing w:before="0" w:after="26"/>
        <w:jc w:val="both"/>
        <w:rPr>
          <w:rFonts w:ascii="Arial" w:hAnsi="Arial"/>
        </w:rPr>
      </w:pPr>
      <w:r>
        <w:rPr>
          <w:rFonts w:cs="Arial" w:ascii="Arial" w:hAnsi="Arial"/>
          <w:b w:val="false"/>
          <w:bCs w:val="false"/>
          <w:sz w:val="24"/>
          <w:szCs w:val="24"/>
        </w:rPr>
        <w:t xml:space="preserve">3) nie posiadającego orzeczenia lub opinii wymienionych w pkt. 1 oraz 2, który objęty jest pomocą psychologiczno – pedagogiczną w szkole – na podstawie ustaleń zawartych w planie działań wspierających, opracowanym dla ucznia. </w:t>
      </w:r>
    </w:p>
    <w:p>
      <w:pPr>
        <w:pStyle w:val="Tretekstu"/>
        <w:spacing w:lineRule="auto" w:line="240" w:before="0" w:after="0"/>
        <w:jc w:val="both"/>
        <w:rPr>
          <w:rFonts w:ascii="Arial" w:hAnsi="Arial"/>
        </w:rPr>
      </w:pPr>
      <w:r>
        <w:rPr>
          <w:rFonts w:eastAsia="SimSun" w:cs="Arial" w:ascii="Arial" w:hAnsi="Arial"/>
          <w:b w:val="false"/>
          <w:bCs w:val="false"/>
          <w:kern w:val="2"/>
          <w:sz w:val="24"/>
          <w:szCs w:val="24"/>
          <w:lang w:eastAsia="hi-IN" w:bidi="hi-IN"/>
        </w:rPr>
        <w:t xml:space="preserve">4) Przy ocenianiu bieżącym nauczyciel bierze pod uwagę własne obserwacje ucznia na lekcji. </w:t>
      </w:r>
    </w:p>
    <w:p>
      <w:pPr>
        <w:pStyle w:val="Normal"/>
        <w:spacing w:lineRule="auto" w:line="240" w:before="0" w:after="0"/>
        <w:jc w:val="both"/>
        <w:rPr>
          <w:rFonts w:ascii="Arial" w:hAnsi="Arial" w:eastAsia="Times New Roman" w:cs="Tahoma"/>
          <w:sz w:val="24"/>
          <w:szCs w:val="24"/>
        </w:rPr>
      </w:pPr>
      <w:r>
        <w:rPr>
          <w:rFonts w:eastAsia="Times New Roman" w:cs="Tahoma" w:ascii="Arial" w:hAnsi="Arial"/>
          <w:sz w:val="24"/>
          <w:szCs w:val="24"/>
        </w:rPr>
      </w:r>
    </w:p>
    <w:p>
      <w:pPr>
        <w:pStyle w:val="Normal"/>
        <w:spacing w:before="0" w:after="200"/>
        <w:rPr>
          <w:rFonts w:ascii="Arial" w:hAnsi="Arial"/>
        </w:rPr>
      </w:pPr>
      <w:r>
        <w:rPr/>
      </w:r>
    </w:p>
    <w:sectPr>
      <w:type w:val="nextPage"/>
      <w:pgSz w:orient="landscape" w:w="16838" w:h="11906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Arial">
    <w:charset w:val="01"/>
    <w:family w:val="swiss"/>
    <w:pitch w:val="variable"/>
  </w:font>
  <w:font w:name="StarSymbol">
    <w:altName w:val="Arial Unicode MS"/>
    <w:charset w:val="01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tarSymbol" w:hAnsi="StarSymbol" w:cs="Star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tarSymbol" w:hAnsi="StarSymbol" w:cs="Star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522e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link w:val="Akapitzlist"/>
    <w:uiPriority w:val="34"/>
    <w:qFormat/>
    <w:locked/>
    <w:rsid w:val="009e2dcd"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link w:val="AkapitzlistZnak"/>
    <w:uiPriority w:val="34"/>
    <w:qFormat/>
    <w:rsid w:val="009e2dcd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color w:val="000000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9e2dcd"/>
    <w:pPr>
      <w:spacing w:after="0" w:line="240" w:lineRule="auto"/>
    </w:pPr>
    <w:rPr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Application>LibreOffice/7.0.2.2$Windows_X86_64 LibreOffice_project/8349ace3c3162073abd90d81fd06dcfb6b36b994</Application>
  <Pages>8</Pages>
  <Words>1421</Words>
  <Characters>9340</Characters>
  <CharactersWithSpaces>10622</CharactersWithSpaces>
  <Paragraphs>120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2025-02-20T16:49:00Z</dcterms:created>
  <dc:creator>Lenovo</dc:creator>
  <dc:description/>
  <dc:language>pl-PL</dc:language>
  <cp:lastModifiedBy/>
  <dcterms:modified xsi:type="dcterms:W3CDTF">2025-02-21T11:28:41Z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